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C233" w14:textId="77777777" w:rsidR="009F1C72" w:rsidRDefault="009F1C72" w:rsidP="009F1C72">
      <w:pPr>
        <w:pStyle w:val="Cmsor1"/>
        <w:jc w:val="center"/>
        <w:rPr>
          <w:rFonts w:ascii="Palatino Linotype" w:hAnsi="Palatino Linotype" w:cs="Arial"/>
          <w:color w:val="E36C0A" w:themeColor="accent6" w:themeShade="BF"/>
        </w:rPr>
      </w:pPr>
      <w:r>
        <w:rPr>
          <w:rFonts w:ascii="Palatino Linotype" w:hAnsi="Palatino Linotype" w:cs="Arial"/>
          <w:color w:val="E36C0A" w:themeColor="accent6" w:themeShade="BF"/>
        </w:rPr>
        <w:t xml:space="preserve">A GVI </w:t>
      </w:r>
      <w:r w:rsidRPr="009F1C72">
        <w:rPr>
          <w:rFonts w:ascii="Palatino Linotype" w:hAnsi="Palatino Linotype" w:cs="Arial"/>
          <w:color w:val="E36C0A" w:themeColor="accent6" w:themeShade="BF"/>
        </w:rPr>
        <w:t>2018. áprilisi negyedéves konjunktúrafelvételének eredményei</w:t>
      </w:r>
    </w:p>
    <w:p w14:paraId="255FC1D8" w14:textId="251149ED" w:rsidR="00EB47D6" w:rsidRPr="00527935" w:rsidRDefault="009F1C72" w:rsidP="009F1C72">
      <w:pPr>
        <w:pStyle w:val="Cmsor1"/>
        <w:spacing w:before="0"/>
        <w:jc w:val="center"/>
        <w:rPr>
          <w:rFonts w:ascii="Palatino Linotype" w:hAnsi="Palatino Linotype" w:cs="Arial"/>
          <w:color w:val="E36C0A" w:themeColor="accent6" w:themeShade="BF"/>
        </w:rPr>
      </w:pPr>
      <w:r w:rsidRPr="009F1C72">
        <w:rPr>
          <w:rFonts w:ascii="Palatino Linotype" w:hAnsi="Palatino Linotype" w:cs="Arial"/>
          <w:i/>
          <w:color w:val="E36C0A" w:themeColor="accent6" w:themeShade="BF"/>
        </w:rPr>
        <w:t>Összefoglaló</w:t>
      </w:r>
    </w:p>
    <w:p w14:paraId="659C3F47" w14:textId="2B85DF29" w:rsidR="00316EB9" w:rsidRPr="00E72049" w:rsidRDefault="0048171B" w:rsidP="00EC123E">
      <w:pPr>
        <w:pStyle w:val="Szvegtrzs"/>
        <w:spacing w:line="240" w:lineRule="auto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  <w:r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A</w:t>
      </w:r>
      <w:r w:rsidR="00442028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z MKIK GVI negyedéves vállalati konjunktúra felmérésében 400 cégvezető véleményét kérdezzük a cégük üzle</w:t>
      </w:r>
      <w:r w:rsidR="003D21E3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ti helyzetéről és kilátásairól.</w:t>
      </w:r>
      <w:r w:rsidR="00316EB9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A 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teljes 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mint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>ára vonatkozóan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– amely 300 db kis- és középvállalkozás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>t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(20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>–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249 fő között)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és 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100 db nagyvállalkozást (250 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>f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ő felett) tartalmaz – a Negyedéves Konjunktúramutatót és a Negyedéves Bizonytalansági </w:t>
      </w:r>
      <w:r w:rsidR="00B46AB0">
        <w:rPr>
          <w:rFonts w:ascii="Palatino Linotype" w:hAnsi="Palatino Linotype"/>
          <w:b/>
          <w:color w:val="404040" w:themeColor="text1" w:themeTint="BF"/>
          <w:sz w:val="22"/>
          <w:szCs w:val="22"/>
        </w:rPr>
        <w:t>M</w:t>
      </w:r>
      <w:r w:rsidR="009935BA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utatót közöljük.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3D21E3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A</w:t>
      </w:r>
      <w:r w:rsidR="00376821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3D21E3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megkérdezett</w:t>
      </w:r>
      <w:r w:rsidR="00316EB9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kis- és középvállalkozás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>ok</w:t>
      </w:r>
      <w:r w:rsidR="00316EB9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3D21E3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ese</w:t>
      </w:r>
      <w:r w:rsidR="009935BA">
        <w:rPr>
          <w:rFonts w:ascii="Palatino Linotype" w:hAnsi="Palatino Linotype"/>
          <w:b/>
          <w:color w:val="404040" w:themeColor="text1" w:themeTint="BF"/>
          <w:sz w:val="22"/>
          <w:szCs w:val="22"/>
        </w:rPr>
        <w:t>tében pedig a</w:t>
      </w:r>
      <w:r w:rsidR="003D21E3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KKV Körkép Konjunktúramutatót és a KKV Körkép Biz</w:t>
      </w:r>
      <w:r w:rsidR="00E72049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onytalansági Mutatót számítjuk</w:t>
      </w:r>
      <w:r w:rsidR="00000513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ki</w:t>
      </w:r>
      <w:r w:rsidR="00E72049" w:rsidRPr="00E72049">
        <w:rPr>
          <w:rFonts w:ascii="Palatino Linotype" w:hAnsi="Palatino Linotype"/>
          <w:b/>
          <w:color w:val="404040" w:themeColor="text1" w:themeTint="BF"/>
          <w:sz w:val="22"/>
          <w:szCs w:val="22"/>
        </w:rPr>
        <w:t>.</w:t>
      </w:r>
    </w:p>
    <w:p w14:paraId="36346F65" w14:textId="15DA7376" w:rsidR="0016444D" w:rsidRPr="0057775D" w:rsidRDefault="00442028" w:rsidP="00EC123E">
      <w:pPr>
        <w:pStyle w:val="Szvegtrzs"/>
        <w:spacing w:line="240" w:lineRule="auto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  <w:r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A </w:t>
      </w:r>
      <w:r w:rsidR="0048171B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201</w:t>
      </w:r>
      <w:r w:rsidR="00316EB9">
        <w:rPr>
          <w:rFonts w:ascii="Palatino Linotype" w:hAnsi="Palatino Linotype"/>
          <w:b/>
          <w:color w:val="404040" w:themeColor="text1" w:themeTint="BF"/>
          <w:sz w:val="22"/>
          <w:szCs w:val="22"/>
        </w:rPr>
        <w:t>8</w:t>
      </w:r>
      <w:r w:rsidR="003216E9">
        <w:rPr>
          <w:rFonts w:ascii="Palatino Linotype" w:hAnsi="Palatino Linotype"/>
          <w:b/>
          <w:color w:val="404040" w:themeColor="text1" w:themeTint="BF"/>
          <w:sz w:val="22"/>
          <w:szCs w:val="22"/>
        </w:rPr>
        <w:t>.</w:t>
      </w:r>
      <w:r w:rsidR="009119B0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április</w:t>
      </w:r>
      <w:r w:rsidR="00316EB9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i </w:t>
      </w:r>
      <w:r w:rsidR="004874B4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adatfelvétel</w:t>
      </w:r>
      <w:r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4874B4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szerint Magyarországon az üzleti bizalom</w:t>
      </w:r>
      <w:r w:rsidR="003D20CB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szintje</w:t>
      </w:r>
      <w:r w:rsidR="00C867EB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ki</w:t>
      </w:r>
      <w:r w:rsidR="00112C41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s </w:t>
      </w:r>
      <w:r w:rsidR="007B2D2D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mértékben meghaladja </w:t>
      </w:r>
      <w:r w:rsidR="003D2126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az előző</w:t>
      </w:r>
      <w:r w:rsidR="00C867EB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3D2126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negyedév</w:t>
      </w:r>
      <w:r w:rsidR="005D3E4C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i </w:t>
      </w:r>
      <w:r w:rsidR="007B2D2D">
        <w:rPr>
          <w:rFonts w:ascii="Palatino Linotype" w:hAnsi="Palatino Linotype"/>
          <w:b/>
          <w:color w:val="404040" w:themeColor="text1" w:themeTint="BF"/>
          <w:sz w:val="22"/>
          <w:szCs w:val="22"/>
        </w:rPr>
        <w:t>értéket</w:t>
      </w:r>
      <w:r w:rsidR="005D3E4C">
        <w:rPr>
          <w:rFonts w:ascii="Palatino Linotype" w:hAnsi="Palatino Linotype"/>
          <w:b/>
          <w:color w:val="404040" w:themeColor="text1" w:themeTint="BF"/>
          <w:sz w:val="22"/>
          <w:szCs w:val="22"/>
        </w:rPr>
        <w:t>: a</w:t>
      </w:r>
      <w:r w:rsidR="0049450B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112C41">
        <w:rPr>
          <w:rFonts w:ascii="Palatino Linotype" w:hAnsi="Palatino Linotype"/>
          <w:b/>
          <w:color w:val="404040" w:themeColor="text1" w:themeTint="BF"/>
          <w:sz w:val="22"/>
          <w:szCs w:val="22"/>
        </w:rPr>
        <w:t>Negyedéves</w:t>
      </w:r>
      <w:r w:rsidR="0049450B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Konjunktúramutató </w:t>
      </w:r>
      <w:r w:rsidR="00D1221E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a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január</w:t>
      </w:r>
      <w:r w:rsidR="00112C41">
        <w:rPr>
          <w:rFonts w:ascii="Palatino Linotype" w:hAnsi="Palatino Linotype"/>
          <w:b/>
          <w:color w:val="404040" w:themeColor="text1" w:themeTint="BF"/>
          <w:sz w:val="22"/>
          <w:szCs w:val="22"/>
        </w:rPr>
        <w:t>i</w:t>
      </w:r>
      <w:r w:rsidR="005D3E4C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3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7</w:t>
      </w:r>
      <w:r w:rsidR="00F31ABF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pont</w:t>
      </w:r>
      <w:r w:rsidR="005D3E4C">
        <w:rPr>
          <w:rFonts w:ascii="Palatino Linotype" w:hAnsi="Palatino Linotype"/>
          <w:b/>
          <w:color w:val="404040" w:themeColor="text1" w:themeTint="BF"/>
          <w:sz w:val="22"/>
          <w:szCs w:val="22"/>
        </w:rPr>
        <w:t>ról 3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9</w:t>
      </w:r>
      <w:r w:rsidR="00D1221E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pontra </w:t>
      </w:r>
      <w:r w:rsidR="00BB2AE1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>emelkedett</w:t>
      </w:r>
      <w:r w:rsidR="00D1221E" w:rsidRPr="00D2035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. </w:t>
      </w:r>
      <w:r w:rsidR="00112C41">
        <w:rPr>
          <w:rFonts w:ascii="Palatino Linotype" w:hAnsi="Palatino Linotype"/>
          <w:b/>
          <w:color w:val="404040" w:themeColor="text1" w:themeTint="BF"/>
          <w:sz w:val="22"/>
          <w:szCs w:val="22"/>
        </w:rPr>
        <w:t>Ez a</w:t>
      </w:r>
      <w:r w:rsidR="00275151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324C66">
        <w:rPr>
          <w:rFonts w:ascii="Palatino Linotype" w:hAnsi="Palatino Linotype"/>
          <w:b/>
          <w:color w:val="404040" w:themeColor="text1" w:themeTint="BF"/>
          <w:sz w:val="22"/>
          <w:szCs w:val="22"/>
        </w:rPr>
        <w:t>negyedéves konjunktúra</w:t>
      </w:r>
      <w:r w:rsidR="00275151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kutatás </w:t>
      </w:r>
      <w:r w:rsidR="00376821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kezdete – 2010 óta – </w:t>
      </w:r>
      <w:r w:rsidR="00275151">
        <w:rPr>
          <w:rFonts w:ascii="Palatino Linotype" w:hAnsi="Palatino Linotype"/>
          <w:b/>
          <w:color w:val="404040" w:themeColor="text1" w:themeTint="BF"/>
          <w:sz w:val="22"/>
          <w:szCs w:val="22"/>
        </w:rPr>
        <w:t>az eddigi legmagasabb érték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(ld. 1. ábra).</w:t>
      </w:r>
      <w:r w:rsidR="0057775D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57775D" w:rsidRPr="0057775D">
        <w:rPr>
          <w:rFonts w:ascii="Palatino Linotype" w:hAnsi="Palatino Linotype"/>
          <w:b/>
          <w:color w:val="404040" w:themeColor="text1" w:themeTint="BF"/>
          <w:sz w:val="22"/>
          <w:szCs w:val="22"/>
        </w:rPr>
        <w:t>A Negyedéves Bizonytalansági Mutató értéke 28 pontos szinten áll, amely érték 4 ponttal alacsonyabb az előző negyedévben mérthez képest. A mutató értéke arra utal, hogy a hazai vállalkozások helyzetértékelése egyöntetűbbé vált az előző negyedévhez képest.</w:t>
      </w:r>
    </w:p>
    <w:p w14:paraId="14A23F0D" w14:textId="36C427FE" w:rsidR="005947A9" w:rsidRPr="0057775D" w:rsidRDefault="00B60B44" w:rsidP="00324C66">
      <w:pPr>
        <w:pStyle w:val="Szvegtrzs"/>
        <w:spacing w:line="240" w:lineRule="auto"/>
        <w:rPr>
          <w:rFonts w:ascii="Palatino Linotype" w:hAnsi="Palatino Linotype"/>
          <w:color w:val="404040" w:themeColor="text1" w:themeTint="BF"/>
          <w:sz w:val="22"/>
          <w:szCs w:val="22"/>
        </w:rPr>
      </w:pPr>
      <w:r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Ha csak a kis- és középvállalkozások 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körében vizsgáljuk az </w:t>
      </w:r>
      <w:r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üzleti bizalom szintjét, akkor szintén javuló tendenciát 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láthatunk</w:t>
      </w:r>
      <w:r>
        <w:rPr>
          <w:rFonts w:ascii="Palatino Linotype" w:hAnsi="Palatino Linotype"/>
          <w:b/>
          <w:color w:val="404040" w:themeColor="text1" w:themeTint="BF"/>
          <w:sz w:val="22"/>
          <w:szCs w:val="22"/>
        </w:rPr>
        <w:t>: a KKV</w:t>
      </w:r>
      <w:r w:rsidR="00D44FBC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Körkép</w:t>
      </w:r>
      <w:r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Konjunktúramutató a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január</w:t>
      </w:r>
      <w:r>
        <w:rPr>
          <w:rFonts w:ascii="Palatino Linotype" w:hAnsi="Palatino Linotype"/>
          <w:b/>
          <w:color w:val="404040" w:themeColor="text1" w:themeTint="BF"/>
          <w:sz w:val="22"/>
          <w:szCs w:val="22"/>
        </w:rPr>
        <w:t>i 3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5</w:t>
      </w:r>
      <w:r w:rsidR="00376821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pontról 3</w:t>
      </w:r>
      <w:r w:rsidR="007A0BBF">
        <w:rPr>
          <w:rFonts w:ascii="Palatino Linotype" w:hAnsi="Palatino Linotype"/>
          <w:b/>
          <w:color w:val="404040" w:themeColor="text1" w:themeTint="BF"/>
          <w:sz w:val="22"/>
          <w:szCs w:val="22"/>
        </w:rPr>
        <w:t>8</w:t>
      </w:r>
      <w:r w:rsidR="00376821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pontra emelkedett, </w:t>
      </w:r>
      <w:r w:rsidR="00324C66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ami </w:t>
      </w:r>
      <w:r w:rsidR="00D042B6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szintén </w:t>
      </w:r>
      <w:r w:rsidR="00324C66">
        <w:rPr>
          <w:rFonts w:ascii="Palatino Linotype" w:hAnsi="Palatino Linotype"/>
          <w:b/>
          <w:color w:val="404040" w:themeColor="text1" w:themeTint="BF"/>
          <w:sz w:val="22"/>
          <w:szCs w:val="22"/>
        </w:rPr>
        <w:t>az eddig mért legmagasabb érték</w:t>
      </w:r>
      <w:r w:rsidR="002773F4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(ld. 2. ábra).</w:t>
      </w:r>
      <w:r w:rsidR="0057775D"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 </w:t>
      </w:r>
      <w:r w:rsidR="0057775D" w:rsidRPr="0057775D">
        <w:rPr>
          <w:rFonts w:ascii="Palatino Linotype" w:hAnsi="Palatino Linotype"/>
          <w:b/>
          <w:color w:val="404040" w:themeColor="text1" w:themeTint="BF"/>
          <w:sz w:val="22"/>
          <w:szCs w:val="22"/>
        </w:rPr>
        <w:t>A KKV Körkép Biz</w:t>
      </w:r>
      <w:bookmarkStart w:id="0" w:name="_GoBack"/>
      <w:bookmarkEnd w:id="0"/>
      <w:r w:rsidR="0057775D" w:rsidRPr="0057775D">
        <w:rPr>
          <w:rFonts w:ascii="Palatino Linotype" w:hAnsi="Palatino Linotype"/>
          <w:b/>
          <w:color w:val="404040" w:themeColor="text1" w:themeTint="BF"/>
          <w:sz w:val="22"/>
          <w:szCs w:val="22"/>
        </w:rPr>
        <w:t>onytalansági Mutató értéke egy ponttal csökkent a 2018. januári adathoz képest, jelenleg 34 ponton áll, ami azt jelenti, hogy a kis- és középvállalkozások véleménye kis mértékben egységesebbé vált.</w:t>
      </w:r>
    </w:p>
    <w:tbl>
      <w:tblPr>
        <w:tblStyle w:val="Rcsostblzat"/>
        <w:tblW w:w="99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9186"/>
        <w:gridCol w:w="394"/>
      </w:tblGrid>
      <w:tr w:rsidR="00EA1E3E" w:rsidRPr="00527935" w14:paraId="22FE1CA6" w14:textId="77777777" w:rsidTr="008F24C0">
        <w:trPr>
          <w:gridBefore w:val="1"/>
          <w:gridAfter w:val="1"/>
          <w:wBefore w:w="426" w:type="dxa"/>
          <w:wAfter w:w="464" w:type="dxa"/>
        </w:trPr>
        <w:tc>
          <w:tcPr>
            <w:tcW w:w="9070" w:type="dxa"/>
          </w:tcPr>
          <w:p w14:paraId="2F598288" w14:textId="77777777" w:rsidR="00EA1E3E" w:rsidRPr="00AE6005" w:rsidRDefault="00EA1E3E" w:rsidP="004A6DE9">
            <w:pPr>
              <w:pStyle w:val="Listaszerbekezds"/>
              <w:numPr>
                <w:ilvl w:val="1"/>
                <w:numId w:val="32"/>
              </w:numPr>
              <w:jc w:val="center"/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</w:pPr>
            <w:r w:rsidRPr="00A01A09"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  <w:t xml:space="preserve">A </w:t>
            </w:r>
            <w:r w:rsidR="00AC1B6D" w:rsidRPr="00A01A09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N</w:t>
            </w:r>
            <w:r w:rsidR="000C7FA5" w:rsidRPr="00A01A09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egyedéves </w:t>
            </w:r>
            <w:r w:rsidR="00AC1B6D" w:rsidRPr="00A01A09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K</w:t>
            </w:r>
            <w:r w:rsidRPr="00A01A09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onjunktúramutató</w:t>
            </w:r>
            <w:r w:rsidRPr="00527935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alakulása</w:t>
            </w:r>
            <w:r w:rsidR="007B2D2D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, 2010.</w:t>
            </w:r>
            <w:r w:rsidR="00455FAB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7B2D2D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01</w:t>
            </w:r>
            <w:r w:rsidR="00A7212E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–</w:t>
            </w:r>
            <w:r w:rsidR="007B2D2D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201</w:t>
            </w:r>
            <w:r w:rsidR="002632E8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8</w:t>
            </w:r>
            <w:r w:rsidR="007B2D2D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.</w:t>
            </w:r>
            <w:r w:rsidR="00455FAB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2632E8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  <w:r w:rsidR="00F32248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4</w:t>
            </w:r>
            <w:r w:rsidR="00E41EE0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.</w:t>
            </w:r>
          </w:p>
          <w:p w14:paraId="17F166B6" w14:textId="77777777" w:rsidR="00AE6005" w:rsidRPr="007B2D2D" w:rsidRDefault="00865E9D" w:rsidP="00AE6005">
            <w:pPr>
              <w:pStyle w:val="Listaszerbekezds"/>
              <w:ind w:left="0"/>
              <w:jc w:val="center"/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</w:pPr>
            <w:r w:rsidRPr="00865E9D">
              <w:rPr>
                <w:rFonts w:ascii="Palatino Linotype" w:hAnsi="Palatino Linotype"/>
                <w:b/>
                <w:noProof/>
                <w:color w:val="E36C0A" w:themeColor="accent6" w:themeShade="BF"/>
                <w:sz w:val="20"/>
                <w:szCs w:val="20"/>
                <w:lang w:val="en-US"/>
              </w:rPr>
              <w:drawing>
                <wp:inline distT="0" distB="0" distL="0" distR="0" wp14:anchorId="32D7DED9" wp14:editId="1E8D0B31">
                  <wp:extent cx="5695565" cy="3718560"/>
                  <wp:effectExtent l="0" t="0" r="63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432" cy="374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12D" w:rsidRPr="00527935" w14:paraId="7C1E2A8B" w14:textId="77777777" w:rsidTr="008F24C0">
        <w:trPr>
          <w:gridBefore w:val="1"/>
          <w:gridAfter w:val="1"/>
          <w:wBefore w:w="426" w:type="dxa"/>
          <w:wAfter w:w="464" w:type="dxa"/>
        </w:trPr>
        <w:tc>
          <w:tcPr>
            <w:tcW w:w="9070" w:type="dxa"/>
          </w:tcPr>
          <w:p w14:paraId="0895F67F" w14:textId="39B83564" w:rsidR="00763EA7" w:rsidRPr="00A01A09" w:rsidRDefault="00763EA7" w:rsidP="000B012D">
            <w:pPr>
              <w:pStyle w:val="Listaszerbekezds"/>
              <w:ind w:left="0"/>
              <w:jc w:val="both"/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2632E8" w:rsidRPr="00527935" w14:paraId="10060836" w14:textId="77777777" w:rsidTr="008F24C0">
        <w:tc>
          <w:tcPr>
            <w:tcW w:w="9960" w:type="dxa"/>
            <w:gridSpan w:val="3"/>
          </w:tcPr>
          <w:p w14:paraId="09AC0D70" w14:textId="77777777" w:rsidR="002632E8" w:rsidRPr="00AE6005" w:rsidRDefault="002632E8" w:rsidP="002632E8">
            <w:pPr>
              <w:pStyle w:val="Listaszerbekezds"/>
              <w:numPr>
                <w:ilvl w:val="1"/>
                <w:numId w:val="32"/>
              </w:numPr>
              <w:jc w:val="center"/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</w:pPr>
            <w:r w:rsidRPr="00A01A09"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  <w:t xml:space="preserve">A 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KKV</w:t>
            </w:r>
            <w:r w:rsidRPr="00A01A09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D44FBC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Körkép </w:t>
            </w:r>
            <w:r w:rsidRPr="00A01A09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Konjunktúramutató</w:t>
            </w:r>
            <w:r w:rsidRPr="00527935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alakulása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, 20</w:t>
            </w:r>
            <w:r w:rsidR="00865E9D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05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.</w:t>
            </w:r>
            <w:r w:rsidR="00455FAB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01</w:t>
            </w:r>
            <w:r w:rsidR="00263CB5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–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2018.</w:t>
            </w:r>
            <w:r w:rsidR="00455FAB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  <w:r w:rsidR="00263CB5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4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.</w:t>
            </w:r>
          </w:p>
          <w:p w14:paraId="288C317E" w14:textId="77777777" w:rsidR="002632E8" w:rsidRPr="00DD72E4" w:rsidRDefault="00263CB5" w:rsidP="002632E8">
            <w:pPr>
              <w:jc w:val="center"/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</w:pPr>
            <w:r w:rsidRPr="00263CB5">
              <w:rPr>
                <w:rFonts w:ascii="Palatino Linotype" w:hAnsi="Palatino Linotype"/>
                <w:b/>
                <w:noProof/>
                <w:color w:val="E36C0A" w:themeColor="accent6" w:themeShade="BF"/>
                <w:sz w:val="20"/>
                <w:szCs w:val="20"/>
                <w:lang w:val="en-US"/>
              </w:rPr>
              <w:drawing>
                <wp:inline distT="0" distB="0" distL="0" distR="0" wp14:anchorId="23F32C69" wp14:editId="42FB6C8F">
                  <wp:extent cx="5917314" cy="3863340"/>
                  <wp:effectExtent l="0" t="0" r="7620" b="381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269" cy="386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38445" w14:textId="77777777" w:rsidR="002632E8" w:rsidRPr="002632E8" w:rsidRDefault="002632E8" w:rsidP="002632E8">
            <w:pPr>
              <w:jc w:val="center"/>
              <w:rPr>
                <w:rFonts w:ascii="Palatino Linotype" w:hAnsi="Palatino Linotype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106FE4AF" w14:textId="435FD97B" w:rsidR="00763EA7" w:rsidRPr="00527935" w:rsidRDefault="00763EA7" w:rsidP="00763EA7">
      <w:pPr>
        <w:jc w:val="both"/>
        <w:rPr>
          <w:rFonts w:ascii="Palatino Linotype" w:hAnsi="Palatino Linotype" w:cs="Times New Roman"/>
          <w:i/>
          <w:color w:val="404040" w:themeColor="text1" w:themeTint="BF"/>
          <w:sz w:val="16"/>
          <w:szCs w:val="16"/>
        </w:rPr>
      </w:pPr>
      <w:r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  <w:t>Forrás: GVI 2018</w:t>
      </w:r>
    </w:p>
    <w:p w14:paraId="5B171753" w14:textId="7FDC0957" w:rsidR="00C67C64" w:rsidRPr="005E40F0" w:rsidRDefault="00763EA7" w:rsidP="00763EA7">
      <w:pPr>
        <w:jc w:val="both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  <w:r w:rsidRPr="00F60525"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  <w:t>Megjegyzés:</w:t>
      </w:r>
      <w:r w:rsidRPr="00F60525">
        <w:rPr>
          <w:rFonts w:ascii="Palatino Linotype" w:hAnsi="Palatino Linotype"/>
          <w:i/>
          <w:color w:val="404040" w:themeColor="text1" w:themeTint="BF"/>
          <w:sz w:val="16"/>
          <w:szCs w:val="16"/>
        </w:rPr>
        <w:t xml:space="preserve"> Az ábrán látható érték százas skálára vetített</w:t>
      </w:r>
      <w:r w:rsidRPr="00F60525">
        <w:rPr>
          <w:rFonts w:ascii="Palatino Linotype" w:hAnsi="Palatino Linotype" w:cs="Times New Roman"/>
          <w:i/>
          <w:color w:val="404040" w:themeColor="text1" w:themeTint="BF"/>
          <w:sz w:val="16"/>
          <w:szCs w:val="16"/>
        </w:rPr>
        <w:t xml:space="preserve"> aggregált</w:t>
      </w:r>
      <w:r w:rsidRPr="00F60525">
        <w:rPr>
          <w:rFonts w:ascii="Palatino Linotype" w:hAnsi="Palatino Linotype"/>
          <w:i/>
          <w:color w:val="404040" w:themeColor="text1" w:themeTint="BF"/>
          <w:sz w:val="16"/>
          <w:szCs w:val="16"/>
        </w:rPr>
        <w:t xml:space="preserve"> egyenlegmutató. Az egyenlegmutató minden esetben a pozitív és a negatív helyzetértékelés</w:t>
      </w:r>
      <w:r w:rsidRPr="00F60525">
        <w:rPr>
          <w:rFonts w:ascii="Palatino Linotype" w:hAnsi="Palatino Linotype" w:cs="Times New Roman"/>
          <w:i/>
          <w:color w:val="404040" w:themeColor="text1" w:themeTint="BF"/>
          <w:sz w:val="16"/>
          <w:szCs w:val="16"/>
        </w:rPr>
        <w:t>t</w:t>
      </w:r>
      <w:r w:rsidRPr="00F60525">
        <w:rPr>
          <w:rFonts w:ascii="Palatino Linotype" w:hAnsi="Palatino Linotype"/>
          <w:i/>
          <w:color w:val="404040" w:themeColor="text1" w:themeTint="BF"/>
          <w:sz w:val="16"/>
          <w:szCs w:val="16"/>
        </w:rPr>
        <w:t xml:space="preserve"> adó vállalatok arányának különbsége. Így a mutató –100 és +100 közötti értékeket vehet fel. –100-at akkor, ha minden cég negatívan és +100-at akkor, ha minden cég pozitívan ítéli meg a helyzetét.</w:t>
      </w:r>
    </w:p>
    <w:p w14:paraId="1FE6A3CB" w14:textId="77777777" w:rsidR="00AE6005" w:rsidRDefault="00AE6005">
      <w:r>
        <w:br w:type="page"/>
      </w:r>
    </w:p>
    <w:p w14:paraId="5729E164" w14:textId="77777777" w:rsidR="002D1559" w:rsidRPr="00527935" w:rsidRDefault="00FB07EB" w:rsidP="001338F0">
      <w:pPr>
        <w:jc w:val="both"/>
        <w:rPr>
          <w:rFonts w:ascii="Palatino Linotype" w:hAnsi="Palatino Linotype" w:cs="Arial"/>
          <w:color w:val="404040" w:themeColor="text1" w:themeTint="BF"/>
        </w:rPr>
      </w:pPr>
      <w:r>
        <w:rPr>
          <w:rFonts w:ascii="Palatino Linotype" w:hAnsi="Palatino Linotype" w:cs="Arial"/>
          <w:color w:val="404040" w:themeColor="text1" w:themeTint="BF"/>
        </w:rPr>
        <w:lastRenderedPageBreak/>
        <w:t xml:space="preserve">A Negyedéves Konjunktúramutató </w:t>
      </w:r>
      <w:r w:rsidR="0019458F">
        <w:rPr>
          <w:rFonts w:ascii="Palatino Linotype" w:hAnsi="Palatino Linotype" w:cs="Arial"/>
          <w:color w:val="404040" w:themeColor="text1" w:themeTint="BF"/>
        </w:rPr>
        <w:t xml:space="preserve">értéke </w:t>
      </w:r>
      <w:r>
        <w:rPr>
          <w:rFonts w:ascii="Palatino Linotype" w:hAnsi="Palatino Linotype" w:cs="Arial"/>
          <w:color w:val="404040" w:themeColor="text1" w:themeTint="BF"/>
        </w:rPr>
        <w:t>a feldolgozóipari vállalkozások (+41 pont) esetében a legmagasabb, az építőipari cégek esetében +40, a kereskedelmi</w:t>
      </w:r>
      <w:r w:rsidR="004C6549">
        <w:rPr>
          <w:rFonts w:ascii="Palatino Linotype" w:hAnsi="Palatino Linotype" w:cs="Arial"/>
          <w:color w:val="404040" w:themeColor="text1" w:themeTint="BF"/>
        </w:rPr>
        <w:t xml:space="preserve"> vállalatok</w:t>
      </w:r>
      <w:r>
        <w:rPr>
          <w:rFonts w:ascii="Palatino Linotype" w:hAnsi="Palatino Linotype" w:cs="Arial"/>
          <w:color w:val="404040" w:themeColor="text1" w:themeTint="BF"/>
        </w:rPr>
        <w:t xml:space="preserve"> körében +39 ponton áll, míg az egyéb gazdasági szolgáltatá</w:t>
      </w:r>
      <w:r w:rsidR="00076052">
        <w:rPr>
          <w:rFonts w:ascii="Palatino Linotype" w:hAnsi="Palatino Linotype" w:cs="Arial"/>
          <w:color w:val="404040" w:themeColor="text1" w:themeTint="BF"/>
        </w:rPr>
        <w:t xml:space="preserve">sokat nyújtó </w:t>
      </w:r>
      <w:r w:rsidR="004C6549">
        <w:rPr>
          <w:rFonts w:ascii="Palatino Linotype" w:hAnsi="Palatino Linotype" w:cs="Arial"/>
          <w:color w:val="404040" w:themeColor="text1" w:themeTint="BF"/>
        </w:rPr>
        <w:t>cégekre</w:t>
      </w:r>
      <w:r w:rsidR="00076052">
        <w:rPr>
          <w:rFonts w:ascii="Palatino Linotype" w:hAnsi="Palatino Linotype" w:cs="Arial"/>
          <w:color w:val="404040" w:themeColor="text1" w:themeTint="BF"/>
        </w:rPr>
        <w:t xml:space="preserve"> vonatkozóan</w:t>
      </w:r>
      <w:r>
        <w:rPr>
          <w:rFonts w:ascii="Palatino Linotype" w:hAnsi="Palatino Linotype" w:cs="Arial"/>
          <w:color w:val="404040" w:themeColor="text1" w:themeTint="BF"/>
        </w:rPr>
        <w:t xml:space="preserve"> (+31 ponttal) a legalacsonyabb. Az előző negyedévhez képest a kereskedelmi vállalkozások esetében 5 pontos növekedés, míg az egyéb gazdasági szolgáltatást nyújtó cégek körében 7 pontos csökkenés tapasztalható.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25803" w:rsidRPr="00527935" w14:paraId="687B2832" w14:textId="77777777" w:rsidTr="0004128C">
        <w:trPr>
          <w:trHeight w:val="337"/>
        </w:trPr>
        <w:tc>
          <w:tcPr>
            <w:tcW w:w="9637" w:type="dxa"/>
          </w:tcPr>
          <w:p w14:paraId="7CB89E07" w14:textId="77777777" w:rsidR="00925803" w:rsidRDefault="00FB07EB" w:rsidP="004A6DE9">
            <w:pPr>
              <w:pStyle w:val="Listaszerbekezds"/>
              <w:numPr>
                <w:ilvl w:val="1"/>
                <w:numId w:val="32"/>
              </w:numPr>
              <w:jc w:val="center"/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A Negyedéves Konjunktúramutató gazdasági ág szerint, 2010.</w:t>
            </w:r>
            <w:r w:rsidR="00455FAB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01–2018.</w:t>
            </w:r>
            <w:r w:rsidR="00455FAB"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  <w:t>04.</w:t>
            </w:r>
          </w:p>
          <w:p w14:paraId="5193778A" w14:textId="1A7959E0" w:rsidR="00FB07EB" w:rsidRPr="00FB07EB" w:rsidRDefault="00724A47" w:rsidP="00307C0A">
            <w:pPr>
              <w:jc w:val="center"/>
              <w:rPr>
                <w:rFonts w:ascii="Palatino Linotype" w:hAnsi="Palatino Linotype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24A47">
              <w:rPr>
                <w:rFonts w:ascii="Palatino Linotype" w:hAnsi="Palatino Linotype" w:cs="Times New Roman"/>
                <w:b/>
                <w:noProof/>
                <w:color w:val="E36C0A" w:themeColor="accent6" w:themeShade="BF"/>
                <w:sz w:val="20"/>
                <w:szCs w:val="20"/>
              </w:rPr>
              <w:drawing>
                <wp:inline distT="0" distB="0" distL="0" distR="0" wp14:anchorId="284FEF32" wp14:editId="385032D9">
                  <wp:extent cx="5734050" cy="375793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683" cy="375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DD2DC" w14:textId="77777777" w:rsidR="00C70805" w:rsidRPr="00692865" w:rsidRDefault="00C70805" w:rsidP="00C70805">
            <w:pPr>
              <w:jc w:val="both"/>
              <w:rPr>
                <w:rFonts w:ascii="Palatino Linotype" w:hAnsi="Palatino Linotype"/>
                <w:b/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i/>
                <w:color w:val="404040" w:themeColor="text1" w:themeTint="BF"/>
                <w:sz w:val="16"/>
                <w:szCs w:val="16"/>
              </w:rPr>
              <w:t>Forrás: GVI 2018</w:t>
            </w:r>
          </w:p>
          <w:p w14:paraId="276F00B7" w14:textId="77777777" w:rsidR="00AF739D" w:rsidRPr="00527935" w:rsidRDefault="00C70805" w:rsidP="00C70805">
            <w:pPr>
              <w:rPr>
                <w:rFonts w:ascii="Palatino Linotype" w:hAnsi="Palatino Linotype" w:cs="Arial"/>
                <w:b/>
                <w:color w:val="E36C0A" w:themeColor="accent6" w:themeShade="BF"/>
              </w:rPr>
            </w:pPr>
            <w:r w:rsidRPr="00692865">
              <w:rPr>
                <w:rFonts w:ascii="Palatino Linotype" w:hAnsi="Palatino Linotype"/>
                <w:b/>
                <w:i/>
                <w:color w:val="404040" w:themeColor="text1" w:themeTint="BF"/>
                <w:sz w:val="16"/>
                <w:szCs w:val="16"/>
              </w:rPr>
              <w:t xml:space="preserve">Megjegyzés: </w:t>
            </w:r>
            <w:r w:rsidRPr="00C70805">
              <w:rPr>
                <w:rFonts w:ascii="Palatino Linotype" w:hAnsi="Palatino Linotype"/>
                <w:i/>
                <w:color w:val="404040" w:themeColor="text1" w:themeTint="BF"/>
                <w:sz w:val="16"/>
                <w:szCs w:val="16"/>
              </w:rPr>
              <w:t>Az ábrán látható értékek százas skálára vetített egyenlegmutatók. Az egyenlegmutató minden esetben a pozitív és a negatív helyzetértékelés adó vállalatok arányának különbsége. Így a mutató –100 és +100 közötti értékeket vehet fel. –100-at akkor, ha minden cég negatívan és +100-at akkor, ha minden cég pozitívan ítéli meg a helyzetét.</w:t>
            </w:r>
          </w:p>
        </w:tc>
      </w:tr>
    </w:tbl>
    <w:p w14:paraId="57C1FD73" w14:textId="77777777" w:rsidR="001338F0" w:rsidRDefault="001338F0">
      <w:pPr>
        <w:rPr>
          <w:rFonts w:ascii="Palatino Linotype" w:eastAsiaTheme="majorEastAsia" w:hAnsi="Palatino Linotype" w:cs="Arial"/>
          <w:b/>
          <w:bCs/>
          <w:color w:val="E36C0A" w:themeColor="accent6" w:themeShade="BF"/>
          <w:sz w:val="28"/>
          <w:szCs w:val="28"/>
        </w:rPr>
      </w:pPr>
      <w:r>
        <w:rPr>
          <w:rFonts w:ascii="Palatino Linotype" w:hAnsi="Palatino Linotype" w:cs="Arial"/>
          <w:color w:val="E36C0A" w:themeColor="accent6" w:themeShade="BF"/>
        </w:rPr>
        <w:br w:type="page"/>
      </w:r>
    </w:p>
    <w:p w14:paraId="48250536" w14:textId="77777777" w:rsidR="00D6781C" w:rsidRDefault="00820944" w:rsidP="00820944">
      <w:pPr>
        <w:jc w:val="both"/>
        <w:rPr>
          <w:rFonts w:ascii="Palatino Linotype" w:hAnsi="Palatino Linotype" w:cs="Arial"/>
          <w:color w:val="404040" w:themeColor="text1" w:themeTint="BF"/>
        </w:rPr>
      </w:pPr>
      <w:r w:rsidRPr="00820944">
        <w:rPr>
          <w:rFonts w:ascii="Palatino Linotype" w:hAnsi="Palatino Linotype" w:cs="Arial"/>
          <w:color w:val="404040" w:themeColor="text1" w:themeTint="BF"/>
        </w:rPr>
        <w:lastRenderedPageBreak/>
        <w:t xml:space="preserve">A </w:t>
      </w:r>
      <w:r>
        <w:rPr>
          <w:rFonts w:ascii="Palatino Linotype" w:hAnsi="Palatino Linotype" w:cs="Arial"/>
          <w:color w:val="404040" w:themeColor="text1" w:themeTint="BF"/>
        </w:rPr>
        <w:t xml:space="preserve">cégeket tulajdonszerkezet szerint vizsgálva látható, hogy jelenleg a tisztán hazai tulajdonban lévő vállalatok, illetve a részben/döntően külföldi tulajdonú vállalkozások esetében egyaránt +39 pont a Negyedéves Konjunktúramutató értéke. </w:t>
      </w:r>
      <w:r w:rsidR="00AC7C89">
        <w:rPr>
          <w:rFonts w:ascii="Palatino Linotype" w:hAnsi="Palatino Linotype" w:cs="Arial"/>
          <w:color w:val="404040" w:themeColor="text1" w:themeTint="BF"/>
        </w:rPr>
        <w:t>Miközben</w:t>
      </w:r>
      <w:r>
        <w:rPr>
          <w:rFonts w:ascii="Palatino Linotype" w:hAnsi="Palatino Linotype" w:cs="Arial"/>
          <w:color w:val="404040" w:themeColor="text1" w:themeTint="BF"/>
        </w:rPr>
        <w:t xml:space="preserve"> a tisztán hazai tulajdonban lévő vállalkozások esetén az előző negyedévhez képest 5 pont</w:t>
      </w:r>
      <w:r w:rsidR="00AC7C89">
        <w:rPr>
          <w:rFonts w:ascii="Palatino Linotype" w:hAnsi="Palatino Linotype" w:cs="Arial"/>
          <w:color w:val="404040" w:themeColor="text1" w:themeTint="BF"/>
        </w:rPr>
        <w:t>tal növekedett a mutató</w:t>
      </w:r>
      <w:r>
        <w:rPr>
          <w:rFonts w:ascii="Palatino Linotype" w:hAnsi="Palatino Linotype" w:cs="Arial"/>
          <w:color w:val="404040" w:themeColor="text1" w:themeTint="BF"/>
        </w:rPr>
        <w:t>, a részben/döntően külföldi cégek körében 7 pont</w:t>
      </w:r>
      <w:r w:rsidR="00AC7C89">
        <w:rPr>
          <w:rFonts w:ascii="Palatino Linotype" w:hAnsi="Palatino Linotype" w:cs="Arial"/>
          <w:color w:val="404040" w:themeColor="text1" w:themeTint="BF"/>
        </w:rPr>
        <w:t>tal csökkent</w:t>
      </w:r>
      <w:r>
        <w:rPr>
          <w:rFonts w:ascii="Palatino Linotype" w:hAnsi="Palatino Linotype" w:cs="Arial"/>
          <w:color w:val="404040" w:themeColor="text1" w:themeTint="BF"/>
        </w:rPr>
        <w:t>.</w:t>
      </w:r>
    </w:p>
    <w:p w14:paraId="4F45B9B0" w14:textId="77777777" w:rsidR="004D4740" w:rsidRDefault="004D4740" w:rsidP="004A6DE9">
      <w:pPr>
        <w:pStyle w:val="Listaszerbekezds"/>
        <w:numPr>
          <w:ilvl w:val="1"/>
          <w:numId w:val="32"/>
        </w:numPr>
        <w:jc w:val="center"/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</w:pPr>
      <w:r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>A Negyedéves Konjunktúramutató tulajdonszerkezet szerint, 2010.</w:t>
      </w:r>
      <w:r w:rsidR="00455FAB"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 xml:space="preserve"> </w:t>
      </w:r>
      <w:r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>01–2018.</w:t>
      </w:r>
      <w:r w:rsidR="00455FAB"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 xml:space="preserve"> </w:t>
      </w:r>
      <w:r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>04.</w:t>
      </w:r>
    </w:p>
    <w:p w14:paraId="40F1834F" w14:textId="0EB0180D" w:rsidR="004D4740" w:rsidRDefault="00311B27" w:rsidP="004D4740">
      <w:pPr>
        <w:jc w:val="center"/>
        <w:rPr>
          <w:rFonts w:ascii="Palatino Linotype" w:hAnsi="Palatino Linotype" w:cs="Arial"/>
          <w:color w:val="404040" w:themeColor="text1" w:themeTint="BF"/>
        </w:rPr>
      </w:pPr>
      <w:r w:rsidRPr="00311B27">
        <w:rPr>
          <w:noProof/>
        </w:rPr>
        <w:drawing>
          <wp:inline distT="0" distB="0" distL="0" distR="0" wp14:anchorId="2396F447" wp14:editId="5DC37FAF">
            <wp:extent cx="5759450" cy="375667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3688" w14:textId="77777777" w:rsidR="00263100" w:rsidRPr="00692865" w:rsidRDefault="00263100" w:rsidP="00263100">
      <w:pPr>
        <w:spacing w:after="0"/>
        <w:jc w:val="both"/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</w:pPr>
      <w:r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  <w:t>Forrás: GVI 2018</w:t>
      </w:r>
    </w:p>
    <w:p w14:paraId="2303C82A" w14:textId="77777777" w:rsidR="001A6BEB" w:rsidRDefault="00263100" w:rsidP="00A97393">
      <w:pPr>
        <w:jc w:val="both"/>
        <w:rPr>
          <w:rFonts w:ascii="Palatino Linotype" w:hAnsi="Palatino Linotype"/>
          <w:i/>
          <w:color w:val="404040" w:themeColor="text1" w:themeTint="BF"/>
          <w:sz w:val="16"/>
          <w:szCs w:val="16"/>
        </w:rPr>
      </w:pPr>
      <w:r w:rsidRPr="00692865"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  <w:t xml:space="preserve">Megjegyzés: </w:t>
      </w:r>
      <w:r w:rsidRPr="00C70805">
        <w:rPr>
          <w:rFonts w:ascii="Palatino Linotype" w:hAnsi="Palatino Linotype"/>
          <w:i/>
          <w:color w:val="404040" w:themeColor="text1" w:themeTint="BF"/>
          <w:sz w:val="16"/>
          <w:szCs w:val="16"/>
        </w:rPr>
        <w:t>Az ábrán látható értékek százas skálára vetített egyenlegmutatók. Az egyenlegmutató minden esetben a pozitív és a negatív helyzetértékelés adó vállalatok arányának különbsége. Így a mutató –100 és +100 közötti értékeket vehet fel. –100-at akkor, ha minden cég negatívan és +100-at akkor, ha minden cég pozitívan ítéli meg a helyzetét.</w:t>
      </w:r>
    </w:p>
    <w:p w14:paraId="6322B50B" w14:textId="77777777" w:rsidR="00D6781C" w:rsidRPr="001A6BEB" w:rsidRDefault="00D6781C">
      <w:pPr>
        <w:rPr>
          <w:rFonts w:ascii="Palatino Linotype" w:hAnsi="Palatino Linotype" w:cs="Arial"/>
          <w:color w:val="404040" w:themeColor="text1" w:themeTint="BF"/>
        </w:rPr>
      </w:pPr>
      <w:r>
        <w:rPr>
          <w:rFonts w:ascii="Palatino Linotype" w:hAnsi="Palatino Linotype" w:cs="Arial"/>
          <w:color w:val="E36C0A" w:themeColor="accent6" w:themeShade="BF"/>
        </w:rPr>
        <w:br w:type="page"/>
      </w:r>
    </w:p>
    <w:p w14:paraId="45885344" w14:textId="06C8BD9E" w:rsidR="001A6BEB" w:rsidRDefault="001A6BEB" w:rsidP="001A6BEB">
      <w:pPr>
        <w:jc w:val="both"/>
        <w:rPr>
          <w:rFonts w:ascii="Palatino Linotype" w:hAnsi="Palatino Linotype" w:cs="Arial"/>
          <w:color w:val="404040" w:themeColor="text1" w:themeTint="BF"/>
        </w:rPr>
      </w:pPr>
      <w:r>
        <w:rPr>
          <w:rFonts w:ascii="Palatino Linotype" w:hAnsi="Palatino Linotype" w:cs="Arial"/>
          <w:color w:val="404040" w:themeColor="text1" w:themeTint="BF"/>
        </w:rPr>
        <w:lastRenderedPageBreak/>
        <w:t>Exporttevékenység szerint a Negyedéves Konjunktúramutató értéke a döntően exportáló vállalkozások körében a legmagasabb (+43 pont), a részben exportálók esetében +39 ponton áll, míg a nem exportáló cégek körében csupán +37 pont. Az előző negyedévhez képest a nem exportáló vállalatok körében 5 pontos növekedés, a részben exportáló cégek kö</w:t>
      </w:r>
      <w:r w:rsidR="001B12DD">
        <w:rPr>
          <w:rFonts w:ascii="Palatino Linotype" w:hAnsi="Palatino Linotype" w:cs="Arial"/>
          <w:color w:val="404040" w:themeColor="text1" w:themeTint="BF"/>
        </w:rPr>
        <w:t>zött</w:t>
      </w:r>
      <w:r>
        <w:rPr>
          <w:rFonts w:ascii="Palatino Linotype" w:hAnsi="Palatino Linotype" w:cs="Arial"/>
          <w:color w:val="404040" w:themeColor="text1" w:themeTint="BF"/>
        </w:rPr>
        <w:t xml:space="preserve"> 4 pontos csökkenés tapasztalható, míg a döntően exportáló vállalatok esetében lényegében nem változott a mutató</w:t>
      </w:r>
      <w:r w:rsidR="001B12DD">
        <w:rPr>
          <w:rFonts w:ascii="Palatino Linotype" w:hAnsi="Palatino Linotype" w:cs="Arial"/>
          <w:color w:val="404040" w:themeColor="text1" w:themeTint="BF"/>
        </w:rPr>
        <w:t xml:space="preserve"> értéke</w:t>
      </w:r>
      <w:r>
        <w:rPr>
          <w:rFonts w:ascii="Palatino Linotype" w:hAnsi="Palatino Linotype" w:cs="Arial"/>
          <w:color w:val="404040" w:themeColor="text1" w:themeTint="BF"/>
        </w:rPr>
        <w:t>.</w:t>
      </w:r>
    </w:p>
    <w:p w14:paraId="19EF439A" w14:textId="77777777" w:rsidR="000A2878" w:rsidRDefault="000A2878" w:rsidP="004A6DE9">
      <w:pPr>
        <w:pStyle w:val="Listaszerbekezds"/>
        <w:numPr>
          <w:ilvl w:val="1"/>
          <w:numId w:val="32"/>
        </w:numPr>
        <w:jc w:val="center"/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</w:pPr>
      <w:r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>A Negyedéves Konjunktúramutató exporttevékenység szerint, 2010.</w:t>
      </w:r>
      <w:r w:rsidR="00455FAB"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 xml:space="preserve"> </w:t>
      </w:r>
      <w:r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>01–2018.</w:t>
      </w:r>
      <w:r w:rsidR="00455FAB"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 xml:space="preserve"> </w:t>
      </w:r>
      <w:r>
        <w:rPr>
          <w:rFonts w:ascii="Palatino Linotype" w:hAnsi="Palatino Linotype" w:cs="Times New Roman"/>
          <w:b/>
          <w:color w:val="E36C0A" w:themeColor="accent6" w:themeShade="BF"/>
          <w:sz w:val="20"/>
          <w:szCs w:val="20"/>
        </w:rPr>
        <w:t>04.</w:t>
      </w:r>
    </w:p>
    <w:p w14:paraId="0B013401" w14:textId="158502D8" w:rsidR="000A2878" w:rsidRDefault="00311B27" w:rsidP="000A2878">
      <w:pPr>
        <w:jc w:val="center"/>
        <w:rPr>
          <w:rFonts w:ascii="Palatino Linotype" w:hAnsi="Palatino Linotype" w:cs="Arial"/>
          <w:color w:val="404040" w:themeColor="text1" w:themeTint="BF"/>
        </w:rPr>
      </w:pPr>
      <w:r w:rsidRPr="00311B27">
        <w:rPr>
          <w:noProof/>
        </w:rPr>
        <w:drawing>
          <wp:inline distT="0" distB="0" distL="0" distR="0" wp14:anchorId="7C96FA96" wp14:editId="0C8E7F3D">
            <wp:extent cx="5759450" cy="375667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C1A9" w14:textId="77777777" w:rsidR="00EC6D2D" w:rsidRPr="00692865" w:rsidRDefault="00EC6D2D" w:rsidP="00EC6D2D">
      <w:pPr>
        <w:spacing w:after="0"/>
        <w:jc w:val="both"/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</w:pPr>
      <w:r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  <w:t>Forrás: GVI 2018</w:t>
      </w:r>
    </w:p>
    <w:p w14:paraId="45D56E1B" w14:textId="04EDE646" w:rsidR="00EC6D2D" w:rsidRPr="000821B3" w:rsidRDefault="00EC6D2D" w:rsidP="000821B3">
      <w:pPr>
        <w:jc w:val="both"/>
        <w:rPr>
          <w:rFonts w:ascii="Palatino Linotype" w:hAnsi="Palatino Linotype"/>
          <w:i/>
          <w:color w:val="404040" w:themeColor="text1" w:themeTint="BF"/>
          <w:sz w:val="16"/>
          <w:szCs w:val="16"/>
        </w:rPr>
      </w:pPr>
      <w:r w:rsidRPr="00692865">
        <w:rPr>
          <w:rFonts w:ascii="Palatino Linotype" w:hAnsi="Palatino Linotype"/>
          <w:b/>
          <w:i/>
          <w:color w:val="404040" w:themeColor="text1" w:themeTint="BF"/>
          <w:sz w:val="16"/>
          <w:szCs w:val="16"/>
        </w:rPr>
        <w:t xml:space="preserve">Megjegyzés: </w:t>
      </w:r>
      <w:r w:rsidRPr="00C70805">
        <w:rPr>
          <w:rFonts w:ascii="Palatino Linotype" w:hAnsi="Palatino Linotype"/>
          <w:i/>
          <w:color w:val="404040" w:themeColor="text1" w:themeTint="BF"/>
          <w:sz w:val="16"/>
          <w:szCs w:val="16"/>
        </w:rPr>
        <w:t>Az ábrán látható értékek százas skálára vetített egyenlegmutatók. Az egyenlegmutató minden esetben a pozitív és a negatív helyzetértékelés adó vállalatok arányának különbsége. Így a mutató –100 és +100 közötti értékeket vehet fel. –100-at akkor, ha minden cég negatívan és +100-at akkor, ha minden cég pozitívan ítéli meg a helyzetét.</w:t>
      </w:r>
    </w:p>
    <w:p w14:paraId="27EDE324" w14:textId="77777777" w:rsidR="001A6BEB" w:rsidRDefault="001A6BEB">
      <w:pPr>
        <w:rPr>
          <w:rFonts w:ascii="Palatino Linotype" w:eastAsiaTheme="majorEastAsia" w:hAnsi="Palatino Linotype" w:cs="Arial"/>
          <w:b/>
          <w:bCs/>
          <w:color w:val="E36C0A" w:themeColor="accent6" w:themeShade="BF"/>
          <w:sz w:val="28"/>
          <w:szCs w:val="28"/>
        </w:rPr>
      </w:pPr>
      <w:r>
        <w:rPr>
          <w:rFonts w:ascii="Palatino Linotype" w:hAnsi="Palatino Linotype" w:cs="Arial"/>
          <w:color w:val="E36C0A" w:themeColor="accent6" w:themeShade="BF"/>
        </w:rPr>
        <w:br w:type="page"/>
      </w:r>
    </w:p>
    <w:p w14:paraId="2F74259E" w14:textId="77777777" w:rsidR="002800DE" w:rsidRDefault="002800DE" w:rsidP="002800DE">
      <w:pPr>
        <w:spacing w:line="240" w:lineRule="auto"/>
        <w:jc w:val="both"/>
        <w:rPr>
          <w:rFonts w:ascii="Palatino Linotype" w:hAnsi="Palatino Linotype" w:cs="Arial"/>
          <w:color w:val="404040" w:themeColor="text1" w:themeTint="BF"/>
        </w:rPr>
      </w:pPr>
      <w:r>
        <w:rPr>
          <w:rFonts w:ascii="Palatino Linotype" w:hAnsi="Palatino Linotype" w:cs="Arial"/>
          <w:color w:val="404040" w:themeColor="text1" w:themeTint="BF"/>
        </w:rPr>
        <w:lastRenderedPageBreak/>
        <w:t>A Negyedéves Konjunktúramutató tíz komponensből áll:</w:t>
      </w:r>
    </w:p>
    <w:p w14:paraId="15D3DACB" w14:textId="77777777" w:rsidR="002800DE" w:rsidRPr="00755649" w:rsidRDefault="002800DE" w:rsidP="002800D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jelenlegi/</w:t>
      </w:r>
      <w:r w:rsidRPr="00755649">
        <w:rPr>
          <w:rFonts w:ascii="Palatino Linotype" w:hAnsi="Palatino Linotype"/>
          <w:color w:val="404040" w:themeColor="text1" w:themeTint="BF"/>
        </w:rPr>
        <w:t>várható üzleti helyzet</w:t>
      </w:r>
      <w:r w:rsidR="00204AE6">
        <w:rPr>
          <w:rFonts w:ascii="Palatino Linotype" w:hAnsi="Palatino Linotype"/>
          <w:color w:val="404040" w:themeColor="text1" w:themeTint="BF"/>
        </w:rPr>
        <w:t>;</w:t>
      </w:r>
    </w:p>
    <w:p w14:paraId="7B7D60A7" w14:textId="77777777" w:rsidR="002800DE" w:rsidRPr="00755649" w:rsidRDefault="002800DE" w:rsidP="002800D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jelenlegi/várható jövedelmezőség</w:t>
      </w:r>
      <w:r w:rsidR="00204AE6">
        <w:rPr>
          <w:rFonts w:ascii="Palatino Linotype" w:hAnsi="Palatino Linotype"/>
          <w:color w:val="404040" w:themeColor="text1" w:themeTint="BF"/>
        </w:rPr>
        <w:t>;</w:t>
      </w:r>
    </w:p>
    <w:p w14:paraId="13F1EEBE" w14:textId="77777777" w:rsidR="002800DE" w:rsidRDefault="00A97393" w:rsidP="002800D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beruházási aktivitás várható alakulása</w:t>
      </w:r>
      <w:r w:rsidR="00204AE6">
        <w:rPr>
          <w:rFonts w:ascii="Palatino Linotype" w:hAnsi="Palatino Linotype"/>
          <w:color w:val="404040" w:themeColor="text1" w:themeTint="BF"/>
        </w:rPr>
        <w:t>;</w:t>
      </w:r>
    </w:p>
    <w:p w14:paraId="43609D1B" w14:textId="77777777" w:rsidR="00A97393" w:rsidRDefault="00A97393" w:rsidP="002800D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jelenlegi rendelésállomány</w:t>
      </w:r>
      <w:r w:rsidR="00204AE6">
        <w:rPr>
          <w:rFonts w:ascii="Palatino Linotype" w:hAnsi="Palatino Linotype"/>
          <w:color w:val="404040" w:themeColor="text1" w:themeTint="BF"/>
        </w:rPr>
        <w:t>;</w:t>
      </w:r>
    </w:p>
    <w:p w14:paraId="6C77E37B" w14:textId="77777777" w:rsidR="00A97393" w:rsidRDefault="00A97393" w:rsidP="002800D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elmúlt negyedéves/várható te</w:t>
      </w:r>
      <w:r w:rsidR="00460DE8">
        <w:rPr>
          <w:rFonts w:ascii="Palatino Linotype" w:hAnsi="Palatino Linotype"/>
          <w:color w:val="404040" w:themeColor="text1" w:themeTint="BF"/>
        </w:rPr>
        <w:t>r</w:t>
      </w:r>
      <w:r>
        <w:rPr>
          <w:rFonts w:ascii="Palatino Linotype" w:hAnsi="Palatino Linotype"/>
          <w:color w:val="404040" w:themeColor="text1" w:themeTint="BF"/>
        </w:rPr>
        <w:t>melési szint</w:t>
      </w:r>
      <w:r w:rsidR="00204AE6">
        <w:rPr>
          <w:rFonts w:ascii="Palatino Linotype" w:hAnsi="Palatino Linotype"/>
          <w:color w:val="404040" w:themeColor="text1" w:themeTint="BF"/>
        </w:rPr>
        <w:t>;</w:t>
      </w:r>
    </w:p>
    <w:p w14:paraId="4E5EDB3F" w14:textId="77777777" w:rsidR="00A97393" w:rsidRPr="00755649" w:rsidRDefault="00A97393" w:rsidP="002800D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létszám várható változása</w:t>
      </w:r>
      <w:r w:rsidR="00204AE6">
        <w:rPr>
          <w:rFonts w:ascii="Palatino Linotype" w:hAnsi="Palatino Linotype"/>
          <w:color w:val="404040" w:themeColor="text1" w:themeTint="BF"/>
        </w:rPr>
        <w:t>;</w:t>
      </w:r>
    </w:p>
    <w:p w14:paraId="102D7438" w14:textId="057C1B6D" w:rsidR="00BE3FAD" w:rsidRDefault="00A97393" w:rsidP="002800DE">
      <w:pPr>
        <w:pStyle w:val="Listaszerbekezds"/>
        <w:numPr>
          <w:ilvl w:val="0"/>
          <w:numId w:val="38"/>
        </w:numPr>
        <w:spacing w:line="240" w:lineRule="auto"/>
        <w:jc w:val="both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/>
          <w:color w:val="404040" w:themeColor="text1" w:themeTint="BF"/>
        </w:rPr>
        <w:t>kapacitáskihasználás várható alakulása</w:t>
      </w:r>
      <w:r w:rsidR="004460A6">
        <w:rPr>
          <w:rFonts w:ascii="Palatino Linotype" w:hAnsi="Palatino Linotype"/>
          <w:color w:val="404040" w:themeColor="text1" w:themeTint="BF"/>
        </w:rPr>
        <w:t>.</w:t>
      </w:r>
    </w:p>
    <w:p w14:paraId="376775FD" w14:textId="32B19888" w:rsidR="00893A14" w:rsidRPr="009F1C72" w:rsidRDefault="002800DE" w:rsidP="006555D6">
      <w:pPr>
        <w:spacing w:line="240" w:lineRule="auto"/>
        <w:jc w:val="both"/>
        <w:rPr>
          <w:rFonts w:ascii="Palatino Linotype" w:hAnsi="Palatino Linotype" w:cs="Arial"/>
          <w:color w:val="404040" w:themeColor="text1" w:themeTint="BF"/>
        </w:rPr>
      </w:pPr>
      <w:r w:rsidRPr="00E63982">
        <w:rPr>
          <w:rFonts w:ascii="Palatino Linotype" w:hAnsi="Palatino Linotype" w:cs="Arial"/>
          <w:color w:val="404040" w:themeColor="text1" w:themeTint="BF"/>
        </w:rPr>
        <w:t xml:space="preserve">Az almutatók esetében </w:t>
      </w:r>
      <w:r w:rsidR="0050100D" w:rsidRPr="00E63982">
        <w:rPr>
          <w:rFonts w:ascii="Palatino Linotype" w:hAnsi="Palatino Linotype" w:cs="Arial"/>
          <w:color w:val="404040" w:themeColor="text1" w:themeTint="BF"/>
        </w:rPr>
        <w:t>megállapítható</w:t>
      </w:r>
      <w:r w:rsidRPr="00E63982">
        <w:rPr>
          <w:rFonts w:ascii="Palatino Linotype" w:hAnsi="Palatino Linotype" w:cs="Arial"/>
          <w:color w:val="404040" w:themeColor="text1" w:themeTint="BF"/>
        </w:rPr>
        <w:t xml:space="preserve">, hogy a vállalkozások vezetői </w:t>
      </w:r>
      <w:r w:rsidR="00C76273" w:rsidRPr="00E63982">
        <w:rPr>
          <w:rFonts w:ascii="Palatino Linotype" w:hAnsi="Palatino Linotype" w:cs="Arial"/>
          <w:color w:val="404040" w:themeColor="text1" w:themeTint="BF"/>
        </w:rPr>
        <w:t xml:space="preserve">lényegesen </w:t>
      </w:r>
      <w:r w:rsidRPr="00E63982">
        <w:rPr>
          <w:rFonts w:ascii="Palatino Linotype" w:hAnsi="Palatino Linotype" w:cs="Arial"/>
          <w:color w:val="404040" w:themeColor="text1" w:themeTint="BF"/>
        </w:rPr>
        <w:t xml:space="preserve">optimistábban ítélik meg cégük </w:t>
      </w:r>
      <w:r w:rsidR="00C76273" w:rsidRPr="00E63982">
        <w:rPr>
          <w:rFonts w:ascii="Palatino Linotype" w:hAnsi="Palatino Linotype" w:cs="Arial"/>
          <w:color w:val="404040" w:themeColor="text1" w:themeTint="BF"/>
        </w:rPr>
        <w:t xml:space="preserve">várható jövedelmezőségét és </w:t>
      </w:r>
      <w:r w:rsidR="00C913F8" w:rsidRPr="00E63982">
        <w:rPr>
          <w:rFonts w:ascii="Palatino Linotype" w:hAnsi="Palatino Linotype" w:cs="Arial"/>
          <w:color w:val="404040" w:themeColor="text1" w:themeTint="BF"/>
        </w:rPr>
        <w:t xml:space="preserve">jövőbeni </w:t>
      </w:r>
      <w:r w:rsidR="00C76273" w:rsidRPr="00E63982">
        <w:rPr>
          <w:rFonts w:ascii="Palatino Linotype" w:hAnsi="Palatino Linotype" w:cs="Arial"/>
          <w:color w:val="404040" w:themeColor="text1" w:themeTint="BF"/>
        </w:rPr>
        <w:t>termelési szintjét az előző negyedévhez képest, m</w:t>
      </w:r>
      <w:r w:rsidRPr="00E63982">
        <w:rPr>
          <w:rFonts w:ascii="Palatino Linotype" w:hAnsi="Palatino Linotype" w:cs="Arial"/>
          <w:color w:val="404040" w:themeColor="text1" w:themeTint="BF"/>
        </w:rPr>
        <w:t>iközben a beruházások alakulás</w:t>
      </w:r>
      <w:r w:rsidR="0050100D" w:rsidRPr="00E63982">
        <w:rPr>
          <w:rFonts w:ascii="Palatino Linotype" w:hAnsi="Palatino Linotype" w:cs="Arial"/>
          <w:color w:val="404040" w:themeColor="text1" w:themeTint="BF"/>
        </w:rPr>
        <w:t>ával</w:t>
      </w:r>
      <w:r w:rsidRPr="00E63982">
        <w:rPr>
          <w:rFonts w:ascii="Palatino Linotype" w:hAnsi="Palatino Linotype" w:cs="Arial"/>
          <w:color w:val="404040" w:themeColor="text1" w:themeTint="BF"/>
        </w:rPr>
        <w:t xml:space="preserve"> kapcs</w:t>
      </w:r>
      <w:r w:rsidR="0050100D" w:rsidRPr="00E63982">
        <w:rPr>
          <w:rFonts w:ascii="Palatino Linotype" w:hAnsi="Palatino Linotype" w:cs="Arial"/>
          <w:color w:val="404040" w:themeColor="text1" w:themeTint="BF"/>
        </w:rPr>
        <w:t>olatos kilátások</w:t>
      </w:r>
      <w:r w:rsidRPr="00E63982">
        <w:rPr>
          <w:rFonts w:ascii="Palatino Linotype" w:hAnsi="Palatino Linotype" w:cs="Arial"/>
          <w:color w:val="404040" w:themeColor="text1" w:themeTint="BF"/>
        </w:rPr>
        <w:t xml:space="preserve"> </w:t>
      </w:r>
      <w:r w:rsidR="00C76273" w:rsidRPr="00E63982">
        <w:rPr>
          <w:rFonts w:ascii="Palatino Linotype" w:hAnsi="Palatino Linotype" w:cs="Arial"/>
          <w:color w:val="404040" w:themeColor="text1" w:themeTint="BF"/>
        </w:rPr>
        <w:t>jelentősen</w:t>
      </w:r>
      <w:r w:rsidRPr="00E63982">
        <w:rPr>
          <w:rFonts w:ascii="Palatino Linotype" w:hAnsi="Palatino Linotype" w:cs="Arial"/>
          <w:color w:val="404040" w:themeColor="text1" w:themeTint="BF"/>
        </w:rPr>
        <w:t xml:space="preserve"> negatívabbak</w:t>
      </w:r>
      <w:r w:rsidR="00C76273" w:rsidRPr="00E63982">
        <w:rPr>
          <w:rFonts w:ascii="Palatino Linotype" w:hAnsi="Palatino Linotype" w:cs="Arial"/>
          <w:color w:val="404040" w:themeColor="text1" w:themeTint="BF"/>
        </w:rPr>
        <w:t xml:space="preserve"> </w:t>
      </w:r>
      <w:r w:rsidRPr="00E63982">
        <w:rPr>
          <w:rFonts w:ascii="Palatino Linotype" w:hAnsi="Palatino Linotype" w:cs="Arial"/>
          <w:color w:val="404040" w:themeColor="text1" w:themeTint="BF"/>
        </w:rPr>
        <w:t>a 201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>8</w:t>
      </w:r>
      <w:r w:rsidRPr="00E63982">
        <w:rPr>
          <w:rFonts w:ascii="Palatino Linotype" w:hAnsi="Palatino Linotype" w:cs="Arial"/>
          <w:color w:val="404040" w:themeColor="text1" w:themeTint="BF"/>
        </w:rPr>
        <w:t xml:space="preserve">. 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>január</w:t>
      </w:r>
      <w:r w:rsidRPr="00E63982">
        <w:rPr>
          <w:rFonts w:ascii="Palatino Linotype" w:hAnsi="Palatino Linotype" w:cs="Arial"/>
          <w:color w:val="404040" w:themeColor="text1" w:themeTint="BF"/>
        </w:rPr>
        <w:t>i szint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>hez viszonyítva</w:t>
      </w:r>
      <w:r w:rsidRPr="00E63982">
        <w:rPr>
          <w:rFonts w:ascii="Palatino Linotype" w:hAnsi="Palatino Linotype" w:cs="Arial"/>
          <w:color w:val="404040" w:themeColor="text1" w:themeTint="BF"/>
        </w:rPr>
        <w:t>.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 xml:space="preserve"> Az előző év azonos időszakához képest</w:t>
      </w:r>
      <w:r w:rsidR="00ED493D" w:rsidRPr="00E63982">
        <w:rPr>
          <w:rFonts w:ascii="Palatino Linotype" w:hAnsi="Palatino Linotype" w:cs="Arial"/>
          <w:color w:val="404040" w:themeColor="text1" w:themeTint="BF"/>
        </w:rPr>
        <w:t xml:space="preserve"> jelenleg az összes komponens esetében pozitívabbak a cégek várakozásai</w:t>
      </w:r>
      <w:r w:rsidR="00892677" w:rsidRPr="00E63982">
        <w:rPr>
          <w:rFonts w:ascii="Palatino Linotype" w:hAnsi="Palatino Linotype" w:cs="Arial"/>
          <w:color w:val="404040" w:themeColor="text1" w:themeTint="BF"/>
        </w:rPr>
        <w:t xml:space="preserve"> a létszám várható alakulása kivételével</w:t>
      </w:r>
      <w:r w:rsidR="00ED493D" w:rsidRPr="00E63982">
        <w:rPr>
          <w:rFonts w:ascii="Palatino Linotype" w:hAnsi="Palatino Linotype" w:cs="Arial"/>
          <w:color w:val="404040" w:themeColor="text1" w:themeTint="BF"/>
        </w:rPr>
        <w:t xml:space="preserve">. </w:t>
      </w:r>
      <w:r w:rsidR="00201BEC" w:rsidRPr="00E63982">
        <w:rPr>
          <w:rFonts w:ascii="Palatino Linotype" w:hAnsi="Palatino Linotype" w:cs="Arial"/>
          <w:color w:val="404040" w:themeColor="text1" w:themeTint="BF"/>
        </w:rPr>
        <w:t>A jövőbeni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 xml:space="preserve"> létszám </w:t>
      </w:r>
      <w:r w:rsidR="00201BEC" w:rsidRPr="00E63982">
        <w:rPr>
          <w:rFonts w:ascii="Palatino Linotype" w:hAnsi="Palatino Linotype" w:cs="Arial"/>
          <w:color w:val="404040" w:themeColor="text1" w:themeTint="BF"/>
        </w:rPr>
        <w:t>szempontjából</w:t>
      </w:r>
      <w:r w:rsidR="00ED493D" w:rsidRPr="00E63982">
        <w:rPr>
          <w:rFonts w:ascii="Palatino Linotype" w:hAnsi="Palatino Linotype" w:cs="Arial"/>
          <w:color w:val="404040" w:themeColor="text1" w:themeTint="BF"/>
        </w:rPr>
        <w:t xml:space="preserve"> 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>a</w:t>
      </w:r>
      <w:r w:rsidR="0050100D" w:rsidRPr="00E63982">
        <w:rPr>
          <w:rFonts w:ascii="Palatino Linotype" w:hAnsi="Palatino Linotype" w:cs="Arial"/>
          <w:color w:val="404040" w:themeColor="text1" w:themeTint="BF"/>
        </w:rPr>
        <w:t>z almutató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 xml:space="preserve"> 2017</w:t>
      </w:r>
      <w:r w:rsidR="001B12DD" w:rsidRPr="00E63982">
        <w:rPr>
          <w:rFonts w:ascii="Palatino Linotype" w:hAnsi="Palatino Linotype" w:cs="Arial"/>
          <w:color w:val="404040" w:themeColor="text1" w:themeTint="BF"/>
        </w:rPr>
        <w:t>. áprilisi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>, illetve 2018. áprilisi érték</w:t>
      </w:r>
      <w:r w:rsidR="0050100D" w:rsidRPr="00E63982">
        <w:rPr>
          <w:rFonts w:ascii="Palatino Linotype" w:hAnsi="Palatino Linotype" w:cs="Arial"/>
          <w:color w:val="404040" w:themeColor="text1" w:themeTint="BF"/>
        </w:rPr>
        <w:t>e</w:t>
      </w:r>
      <w:r w:rsidR="003C5C49" w:rsidRPr="00E63982">
        <w:rPr>
          <w:rFonts w:ascii="Palatino Linotype" w:hAnsi="Palatino Linotype" w:cs="Arial"/>
          <w:color w:val="404040" w:themeColor="text1" w:themeTint="BF"/>
        </w:rPr>
        <w:t xml:space="preserve"> lényegében </w:t>
      </w:r>
      <w:r w:rsidR="00FA3457" w:rsidRPr="00E63982">
        <w:rPr>
          <w:rFonts w:ascii="Palatino Linotype" w:hAnsi="Palatino Linotype" w:cs="Arial"/>
          <w:color w:val="404040" w:themeColor="text1" w:themeTint="BF"/>
        </w:rPr>
        <w:t>megegyezik</w:t>
      </w:r>
      <w:r w:rsidR="008A059F" w:rsidRPr="00E63982">
        <w:rPr>
          <w:rFonts w:ascii="Palatino Linotype" w:hAnsi="Palatino Linotype" w:cs="Arial"/>
          <w:color w:val="404040" w:themeColor="text1" w:themeTint="BF"/>
        </w:rPr>
        <w:t>.</w:t>
      </w:r>
      <w:r w:rsidR="006555D6">
        <w:rPr>
          <w:rFonts w:ascii="Palatino Linotype" w:hAnsi="Palatino Linotype" w:cs="Arial"/>
          <w:color w:val="404040" w:themeColor="text1" w:themeTint="BF"/>
        </w:rPr>
        <w:t xml:space="preserve"> </w:t>
      </w:r>
      <w:r w:rsidR="00825D0F">
        <w:rPr>
          <w:rFonts w:ascii="Palatino Linotype" w:hAnsi="Palatino Linotype" w:cs="Arial"/>
          <w:color w:val="404040" w:themeColor="text1" w:themeTint="BF"/>
        </w:rPr>
        <w:t xml:space="preserve">Az áprilisi adatok alapján </w:t>
      </w:r>
      <w:r w:rsidR="009D4FE1">
        <w:rPr>
          <w:rFonts w:ascii="Palatino Linotype" w:hAnsi="Palatino Linotype" w:cs="Arial"/>
          <w:color w:val="404040" w:themeColor="text1" w:themeTint="BF"/>
        </w:rPr>
        <w:t xml:space="preserve">a kis- és középvállalkozások a nagyvállalatokhoz képest pozitívabban ítélik meg helyzetüket a jelenlegi és a várható üzleti helyzet, a jelenlegi és a várható jövedelmezőség, a várható termelési szint, a jövőbeni létszám, illetve a várható kapacitáskihasználás tekintetében. A várható beruházási aktivitás, a jelenlegi rendelésállomány, valamint az elmúlt negyedéves termelési szint szempontjából viszont a 250 főnél több munkavállalót foglalkoztató cégek </w:t>
      </w:r>
      <w:r w:rsidR="00566C8D">
        <w:rPr>
          <w:rFonts w:ascii="Palatino Linotype" w:hAnsi="Palatino Linotype" w:cs="Arial"/>
          <w:color w:val="404040" w:themeColor="text1" w:themeTint="BF"/>
        </w:rPr>
        <w:t>adtak pozitívabb helyzetértékelést</w:t>
      </w:r>
      <w:r w:rsidR="009D4FE1">
        <w:rPr>
          <w:rFonts w:ascii="Palatino Linotype" w:hAnsi="Palatino Linotype" w:cs="Arial"/>
          <w:color w:val="404040" w:themeColor="text1" w:themeTint="BF"/>
        </w:rPr>
        <w:t>.</w:t>
      </w:r>
      <w:bookmarkStart w:id="1" w:name="_Toc206304267"/>
      <w:bookmarkEnd w:id="1"/>
    </w:p>
    <w:sectPr w:rsidR="00893A14" w:rsidRPr="009F1C72" w:rsidSect="00F54C9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1AE3" w14:textId="77777777" w:rsidR="00377066" w:rsidRDefault="00377066" w:rsidP="00631BC2">
      <w:pPr>
        <w:spacing w:after="0" w:line="240" w:lineRule="auto"/>
      </w:pPr>
      <w:r>
        <w:separator/>
      </w:r>
    </w:p>
  </w:endnote>
  <w:endnote w:type="continuationSeparator" w:id="0">
    <w:p w14:paraId="5FB871EF" w14:textId="77777777" w:rsidR="00377066" w:rsidRDefault="00377066" w:rsidP="0063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5BFA" w14:textId="77777777" w:rsidR="00B46AB0" w:rsidRPr="00E04A7F" w:rsidRDefault="00B46AB0" w:rsidP="00631BC2">
    <w:pPr>
      <w:pStyle w:val="llb"/>
      <w:pBdr>
        <w:top w:val="single" w:sz="4" w:space="1" w:color="auto"/>
      </w:pBdr>
      <w:jc w:val="center"/>
      <w:rPr>
        <w:rFonts w:ascii="Palatino Linotype" w:hAnsi="Palatino Linotype" w:cs="Arial"/>
        <w:color w:val="404040" w:themeColor="text1" w:themeTint="BF"/>
        <w:sz w:val="16"/>
        <w:szCs w:val="16"/>
      </w:rPr>
    </w:pPr>
    <w:r w:rsidRPr="00E04A7F">
      <w:rPr>
        <w:rFonts w:ascii="Palatino Linotype" w:hAnsi="Palatino Linotype" w:cs="Arial"/>
        <w:color w:val="404040" w:themeColor="text1" w:themeTint="BF"/>
        <w:sz w:val="16"/>
        <w:szCs w:val="16"/>
      </w:rPr>
      <w:t>GVI • 10</w:t>
    </w:r>
    <w:r w:rsidR="00764528">
      <w:rPr>
        <w:rFonts w:ascii="Palatino Linotype" w:hAnsi="Palatino Linotype" w:cs="Arial"/>
        <w:color w:val="404040" w:themeColor="text1" w:themeTint="BF"/>
        <w:sz w:val="16"/>
        <w:szCs w:val="16"/>
      </w:rPr>
      <w:t>5</w:t>
    </w:r>
    <w:r w:rsidRPr="00E04A7F">
      <w:rPr>
        <w:rFonts w:ascii="Palatino Linotype" w:hAnsi="Palatino Linotype" w:cs="Arial"/>
        <w:color w:val="404040" w:themeColor="text1" w:themeTint="BF"/>
        <w:sz w:val="16"/>
        <w:szCs w:val="16"/>
      </w:rPr>
      <w:t xml:space="preserve">4 Budapest, </w:t>
    </w:r>
    <w:r w:rsidR="00764528">
      <w:rPr>
        <w:rFonts w:ascii="Palatino Linotype" w:hAnsi="Palatino Linotype" w:cs="Arial"/>
        <w:color w:val="404040" w:themeColor="text1" w:themeTint="BF"/>
        <w:sz w:val="16"/>
        <w:szCs w:val="16"/>
      </w:rPr>
      <w:t>Szabadság</w:t>
    </w:r>
    <w:r w:rsidRPr="00E04A7F">
      <w:rPr>
        <w:rFonts w:ascii="Palatino Linotype" w:hAnsi="Palatino Linotype" w:cs="Arial"/>
        <w:color w:val="404040" w:themeColor="text1" w:themeTint="BF"/>
        <w:sz w:val="16"/>
        <w:szCs w:val="16"/>
      </w:rPr>
      <w:t xml:space="preserve"> </w:t>
    </w:r>
    <w:r w:rsidR="00764528">
      <w:rPr>
        <w:rFonts w:ascii="Palatino Linotype" w:hAnsi="Palatino Linotype" w:cs="Arial"/>
        <w:color w:val="404040" w:themeColor="text1" w:themeTint="BF"/>
        <w:sz w:val="16"/>
        <w:szCs w:val="16"/>
      </w:rPr>
      <w:t>tér</w:t>
    </w:r>
    <w:r w:rsidRPr="00E04A7F">
      <w:rPr>
        <w:rFonts w:ascii="Palatino Linotype" w:hAnsi="Palatino Linotype" w:cs="Arial"/>
        <w:color w:val="404040" w:themeColor="text1" w:themeTint="BF"/>
        <w:sz w:val="16"/>
        <w:szCs w:val="16"/>
      </w:rPr>
      <w:t xml:space="preserve"> </w:t>
    </w:r>
    <w:r w:rsidR="00764528">
      <w:rPr>
        <w:rFonts w:ascii="Palatino Linotype" w:hAnsi="Palatino Linotype" w:cs="Arial"/>
        <w:color w:val="404040" w:themeColor="text1" w:themeTint="BF"/>
        <w:sz w:val="16"/>
        <w:szCs w:val="16"/>
      </w:rPr>
      <w:t>7</w:t>
    </w:r>
    <w:r w:rsidRPr="00E04A7F">
      <w:rPr>
        <w:rFonts w:ascii="Palatino Linotype" w:hAnsi="Palatino Linotype" w:cs="Arial"/>
        <w:color w:val="404040" w:themeColor="text1" w:themeTint="BF"/>
        <w:sz w:val="16"/>
        <w:szCs w:val="16"/>
      </w:rPr>
      <w:t>. • tel: 235-05-84 • e-mail:</w:t>
    </w:r>
    <w:r>
      <w:rPr>
        <w:rFonts w:ascii="Palatino Linotype" w:hAnsi="Palatino Linotype" w:cs="Arial"/>
        <w:color w:val="404040" w:themeColor="text1" w:themeTint="BF"/>
        <w:sz w:val="16"/>
        <w:szCs w:val="16"/>
      </w:rPr>
      <w:t xml:space="preserve"> </w:t>
    </w:r>
    <w:hyperlink r:id="rId1" w:history="1">
      <w:r w:rsidRPr="00205676">
        <w:rPr>
          <w:rStyle w:val="Hiperhivatkozs"/>
          <w:rFonts w:ascii="Palatino Linotype" w:hAnsi="Palatino Linotype"/>
          <w:sz w:val="16"/>
          <w:szCs w:val="16"/>
        </w:rPr>
        <w:t>gvi@gvi.hu</w:t>
      </w:r>
    </w:hyperlink>
    <w:r>
      <w:rPr>
        <w:rFonts w:ascii="Palatino Linotype" w:hAnsi="Palatino Linotype" w:cs="Arial"/>
        <w:color w:val="404040" w:themeColor="text1" w:themeTint="BF"/>
        <w:sz w:val="16"/>
        <w:szCs w:val="16"/>
      </w:rPr>
      <w:t xml:space="preserve"> </w:t>
    </w:r>
    <w:r w:rsidRPr="00E04A7F">
      <w:rPr>
        <w:rFonts w:ascii="Palatino Linotype" w:hAnsi="Palatino Linotype" w:cs="Arial"/>
        <w:color w:val="404040" w:themeColor="text1" w:themeTint="BF"/>
        <w:sz w:val="16"/>
        <w:szCs w:val="16"/>
      </w:rPr>
      <w:t>• Internet:</w:t>
    </w:r>
    <w:r>
      <w:rPr>
        <w:rFonts w:ascii="Palatino Linotype" w:hAnsi="Palatino Linotype" w:cs="Arial"/>
        <w:color w:val="404040" w:themeColor="text1" w:themeTint="BF"/>
        <w:sz w:val="16"/>
        <w:szCs w:val="16"/>
      </w:rPr>
      <w:t xml:space="preserve"> </w:t>
    </w:r>
    <w:hyperlink r:id="rId2" w:history="1">
      <w:r w:rsidRPr="00205676">
        <w:rPr>
          <w:rStyle w:val="Hiperhivatkozs"/>
          <w:rFonts w:ascii="Palatino Linotype" w:hAnsi="Palatino Linotype"/>
          <w:sz w:val="16"/>
          <w:szCs w:val="16"/>
        </w:rPr>
        <w:t>http://www.gvi.hu</w:t>
      </w:r>
    </w:hyperlink>
  </w:p>
  <w:p w14:paraId="60E82E0E" w14:textId="77777777" w:rsidR="00B46AB0" w:rsidRPr="00E04A7F" w:rsidRDefault="00B46AB0" w:rsidP="00631BC2">
    <w:pPr>
      <w:pStyle w:val="llb"/>
      <w:jc w:val="center"/>
      <w:rPr>
        <w:rFonts w:ascii="Palatino Linotype" w:hAnsi="Palatino Linotype" w:cs="Arial"/>
        <w:color w:val="404040" w:themeColor="text1" w:themeTint="BF"/>
        <w:sz w:val="16"/>
        <w:szCs w:val="16"/>
      </w:rPr>
    </w:pP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fldChar w:fldCharType="begin"/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instrText xml:space="preserve"> PAGE </w:instrText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fldChar w:fldCharType="separate"/>
    </w:r>
    <w:r w:rsidR="008A059F">
      <w:rPr>
        <w:rStyle w:val="Oldalszm"/>
        <w:rFonts w:ascii="Palatino Linotype" w:hAnsi="Palatino Linotype" w:cs="Arial"/>
        <w:noProof/>
        <w:color w:val="404040" w:themeColor="text1" w:themeTint="BF"/>
        <w:sz w:val="16"/>
        <w:szCs w:val="16"/>
      </w:rPr>
      <w:t>18</w:t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fldChar w:fldCharType="end"/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t xml:space="preserve"> / </w:t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fldChar w:fldCharType="begin"/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instrText xml:space="preserve"> NUMPAGES </w:instrText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fldChar w:fldCharType="separate"/>
    </w:r>
    <w:r w:rsidR="008A059F">
      <w:rPr>
        <w:rStyle w:val="Oldalszm"/>
        <w:rFonts w:ascii="Palatino Linotype" w:hAnsi="Palatino Linotype" w:cs="Arial"/>
        <w:noProof/>
        <w:color w:val="404040" w:themeColor="text1" w:themeTint="BF"/>
        <w:sz w:val="16"/>
        <w:szCs w:val="16"/>
      </w:rPr>
      <w:t>18</w:t>
    </w:r>
    <w:r w:rsidRPr="00E04A7F">
      <w:rPr>
        <w:rStyle w:val="Oldalszm"/>
        <w:rFonts w:ascii="Palatino Linotype" w:hAnsi="Palatino Linotype" w:cs="Arial"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935A" w14:textId="77777777" w:rsidR="00377066" w:rsidRDefault="00377066" w:rsidP="00631BC2">
      <w:pPr>
        <w:spacing w:after="0" w:line="240" w:lineRule="auto"/>
      </w:pPr>
      <w:r>
        <w:separator/>
      </w:r>
    </w:p>
  </w:footnote>
  <w:footnote w:type="continuationSeparator" w:id="0">
    <w:p w14:paraId="513C948C" w14:textId="77777777" w:rsidR="00377066" w:rsidRDefault="00377066" w:rsidP="0063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C7E8" w14:textId="77777777" w:rsidR="00B46AB0" w:rsidRDefault="00B46A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33BA" w14:textId="77777777" w:rsidR="00B46AB0" w:rsidRDefault="00B46AB0" w:rsidP="00631BC2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99F1" w14:textId="77777777" w:rsidR="00B46AB0" w:rsidRDefault="00B46A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63E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680D52"/>
    <w:multiLevelType w:val="multilevel"/>
    <w:tmpl w:val="DBCE0A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5181CA5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C075BA"/>
    <w:multiLevelType w:val="hybridMultilevel"/>
    <w:tmpl w:val="2B12D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60A9"/>
    <w:multiLevelType w:val="hybridMultilevel"/>
    <w:tmpl w:val="995A9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04EC9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D620CB7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C93267"/>
    <w:multiLevelType w:val="hybridMultilevel"/>
    <w:tmpl w:val="CB9A6882"/>
    <w:lvl w:ilvl="0" w:tplc="A9D041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3548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526AC3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CF93DE8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7F2346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CA4CDF"/>
    <w:multiLevelType w:val="multilevel"/>
    <w:tmpl w:val="DBCE0A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2AF529BD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B11F99"/>
    <w:multiLevelType w:val="hybridMultilevel"/>
    <w:tmpl w:val="C7FEF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4261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F0261E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BB4571"/>
    <w:multiLevelType w:val="hybridMultilevel"/>
    <w:tmpl w:val="7E0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6AEC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1B7DC6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DD6BD8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B71302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4F4ACC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5C4A21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A4166AF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7C2DB5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356FB9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D0A3481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E62489B"/>
    <w:multiLevelType w:val="hybridMultilevel"/>
    <w:tmpl w:val="925E8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3F54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2553FE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686E64"/>
    <w:multiLevelType w:val="hybridMultilevel"/>
    <w:tmpl w:val="A97464C0"/>
    <w:lvl w:ilvl="0" w:tplc="EE280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1D52F8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A470EE6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A5E0096"/>
    <w:multiLevelType w:val="multilevel"/>
    <w:tmpl w:val="2D66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BB5009F"/>
    <w:multiLevelType w:val="multilevel"/>
    <w:tmpl w:val="B1BC1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1F958E0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052017"/>
    <w:multiLevelType w:val="multilevel"/>
    <w:tmpl w:val="26C2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9B776C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4612002"/>
    <w:multiLevelType w:val="multilevel"/>
    <w:tmpl w:val="DCA4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75444C5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A4F29E1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0AB2F5A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360328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4867F97"/>
    <w:multiLevelType w:val="multilevel"/>
    <w:tmpl w:val="DBC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B1B1AA5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CE95105"/>
    <w:multiLevelType w:val="multilevel"/>
    <w:tmpl w:val="484E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E36C0A" w:themeColor="accent6" w:themeShade="BF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28"/>
  </w:num>
  <w:num w:numId="7">
    <w:abstractNumId w:val="39"/>
  </w:num>
  <w:num w:numId="8">
    <w:abstractNumId w:val="31"/>
  </w:num>
  <w:num w:numId="9">
    <w:abstractNumId w:val="12"/>
  </w:num>
  <w:num w:numId="10">
    <w:abstractNumId w:val="2"/>
  </w:num>
  <w:num w:numId="11">
    <w:abstractNumId w:val="21"/>
  </w:num>
  <w:num w:numId="12">
    <w:abstractNumId w:val="44"/>
  </w:num>
  <w:num w:numId="13">
    <w:abstractNumId w:val="26"/>
  </w:num>
  <w:num w:numId="14">
    <w:abstractNumId w:val="38"/>
  </w:num>
  <w:num w:numId="15">
    <w:abstractNumId w:val="20"/>
  </w:num>
  <w:num w:numId="16">
    <w:abstractNumId w:val="41"/>
  </w:num>
  <w:num w:numId="17">
    <w:abstractNumId w:val="8"/>
  </w:num>
  <w:num w:numId="18">
    <w:abstractNumId w:val="27"/>
  </w:num>
  <w:num w:numId="19">
    <w:abstractNumId w:val="1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37"/>
  </w:num>
  <w:num w:numId="29">
    <w:abstractNumId w:val="35"/>
  </w:num>
  <w:num w:numId="30">
    <w:abstractNumId w:val="43"/>
  </w:num>
  <w:num w:numId="31">
    <w:abstractNumId w:val="18"/>
  </w:num>
  <w:num w:numId="32">
    <w:abstractNumId w:val="34"/>
  </w:num>
  <w:num w:numId="33">
    <w:abstractNumId w:val="46"/>
  </w:num>
  <w:num w:numId="34">
    <w:abstractNumId w:val="45"/>
  </w:num>
  <w:num w:numId="35">
    <w:abstractNumId w:val="5"/>
  </w:num>
  <w:num w:numId="36">
    <w:abstractNumId w:val="33"/>
  </w:num>
  <w:num w:numId="37">
    <w:abstractNumId w:val="25"/>
  </w:num>
  <w:num w:numId="38">
    <w:abstractNumId w:val="17"/>
  </w:num>
  <w:num w:numId="39">
    <w:abstractNumId w:val="24"/>
  </w:num>
  <w:num w:numId="40">
    <w:abstractNumId w:val="29"/>
  </w:num>
  <w:num w:numId="41">
    <w:abstractNumId w:val="40"/>
  </w:num>
  <w:num w:numId="42">
    <w:abstractNumId w:val="10"/>
  </w:num>
  <w:num w:numId="43">
    <w:abstractNumId w:val="23"/>
  </w:num>
  <w:num w:numId="44">
    <w:abstractNumId w:val="42"/>
  </w:num>
  <w:num w:numId="45">
    <w:abstractNumId w:val="36"/>
  </w:num>
  <w:num w:numId="46">
    <w:abstractNumId w:val="2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C2"/>
    <w:rsid w:val="00000513"/>
    <w:rsid w:val="00003395"/>
    <w:rsid w:val="00006452"/>
    <w:rsid w:val="00017050"/>
    <w:rsid w:val="00017EB1"/>
    <w:rsid w:val="00023EBD"/>
    <w:rsid w:val="000248C4"/>
    <w:rsid w:val="000251F1"/>
    <w:rsid w:val="00032BB5"/>
    <w:rsid w:val="00034A97"/>
    <w:rsid w:val="00036EAE"/>
    <w:rsid w:val="000407EF"/>
    <w:rsid w:val="0004128C"/>
    <w:rsid w:val="00041E7F"/>
    <w:rsid w:val="000423E7"/>
    <w:rsid w:val="000424AC"/>
    <w:rsid w:val="00042BF4"/>
    <w:rsid w:val="00046602"/>
    <w:rsid w:val="0005105C"/>
    <w:rsid w:val="0006187D"/>
    <w:rsid w:val="00063E53"/>
    <w:rsid w:val="00070D73"/>
    <w:rsid w:val="00071C87"/>
    <w:rsid w:val="00072842"/>
    <w:rsid w:val="00073812"/>
    <w:rsid w:val="00076052"/>
    <w:rsid w:val="00077025"/>
    <w:rsid w:val="000803E3"/>
    <w:rsid w:val="0008190E"/>
    <w:rsid w:val="000821B3"/>
    <w:rsid w:val="00083530"/>
    <w:rsid w:val="00084D68"/>
    <w:rsid w:val="00085CB3"/>
    <w:rsid w:val="00087CEC"/>
    <w:rsid w:val="00091CFA"/>
    <w:rsid w:val="0009261B"/>
    <w:rsid w:val="000973E3"/>
    <w:rsid w:val="000A037C"/>
    <w:rsid w:val="000A25A1"/>
    <w:rsid w:val="000A2878"/>
    <w:rsid w:val="000A6133"/>
    <w:rsid w:val="000B012D"/>
    <w:rsid w:val="000B67A1"/>
    <w:rsid w:val="000C3B1F"/>
    <w:rsid w:val="000C5067"/>
    <w:rsid w:val="000C5F21"/>
    <w:rsid w:val="000C7FA5"/>
    <w:rsid w:val="000D004D"/>
    <w:rsid w:val="000D4FCF"/>
    <w:rsid w:val="000D56F7"/>
    <w:rsid w:val="000D6033"/>
    <w:rsid w:val="000E0076"/>
    <w:rsid w:val="000F2BCA"/>
    <w:rsid w:val="00100B41"/>
    <w:rsid w:val="001048D0"/>
    <w:rsid w:val="001050BA"/>
    <w:rsid w:val="00105F4D"/>
    <w:rsid w:val="0010718F"/>
    <w:rsid w:val="00107FE1"/>
    <w:rsid w:val="001104CF"/>
    <w:rsid w:val="00112C41"/>
    <w:rsid w:val="00115CC3"/>
    <w:rsid w:val="00116CB0"/>
    <w:rsid w:val="001233A4"/>
    <w:rsid w:val="00125893"/>
    <w:rsid w:val="00126913"/>
    <w:rsid w:val="0012750E"/>
    <w:rsid w:val="001338F0"/>
    <w:rsid w:val="00134C23"/>
    <w:rsid w:val="00134E40"/>
    <w:rsid w:val="001376AB"/>
    <w:rsid w:val="00140587"/>
    <w:rsid w:val="0014111A"/>
    <w:rsid w:val="00141C85"/>
    <w:rsid w:val="001471BB"/>
    <w:rsid w:val="00151734"/>
    <w:rsid w:val="00152E07"/>
    <w:rsid w:val="00153793"/>
    <w:rsid w:val="00153B35"/>
    <w:rsid w:val="00154516"/>
    <w:rsid w:val="00154D1D"/>
    <w:rsid w:val="00155E17"/>
    <w:rsid w:val="00156978"/>
    <w:rsid w:val="00156CE7"/>
    <w:rsid w:val="0016100F"/>
    <w:rsid w:val="0016444D"/>
    <w:rsid w:val="00164E40"/>
    <w:rsid w:val="00165A7C"/>
    <w:rsid w:val="00173AE8"/>
    <w:rsid w:val="00174300"/>
    <w:rsid w:val="00174C28"/>
    <w:rsid w:val="00175C06"/>
    <w:rsid w:val="00176EA3"/>
    <w:rsid w:val="00177477"/>
    <w:rsid w:val="00180B4C"/>
    <w:rsid w:val="00180D67"/>
    <w:rsid w:val="001855E4"/>
    <w:rsid w:val="00186C0F"/>
    <w:rsid w:val="00187446"/>
    <w:rsid w:val="0018751F"/>
    <w:rsid w:val="0019458F"/>
    <w:rsid w:val="001961A4"/>
    <w:rsid w:val="001A067D"/>
    <w:rsid w:val="001A20AD"/>
    <w:rsid w:val="001A25F9"/>
    <w:rsid w:val="001A4F7E"/>
    <w:rsid w:val="001A56F4"/>
    <w:rsid w:val="001A5A30"/>
    <w:rsid w:val="001A6BEB"/>
    <w:rsid w:val="001A7553"/>
    <w:rsid w:val="001B12DD"/>
    <w:rsid w:val="001B1527"/>
    <w:rsid w:val="001B22F6"/>
    <w:rsid w:val="001B2E9E"/>
    <w:rsid w:val="001B45FC"/>
    <w:rsid w:val="001B5D5C"/>
    <w:rsid w:val="001B63B1"/>
    <w:rsid w:val="001B7415"/>
    <w:rsid w:val="001B748A"/>
    <w:rsid w:val="001B78A7"/>
    <w:rsid w:val="001C0244"/>
    <w:rsid w:val="001C1BD1"/>
    <w:rsid w:val="001D3278"/>
    <w:rsid w:val="001D5464"/>
    <w:rsid w:val="001D6F92"/>
    <w:rsid w:val="001D7BEA"/>
    <w:rsid w:val="001E2054"/>
    <w:rsid w:val="001E3899"/>
    <w:rsid w:val="001E3FD0"/>
    <w:rsid w:val="001E48E2"/>
    <w:rsid w:val="001E5D87"/>
    <w:rsid w:val="001E6663"/>
    <w:rsid w:val="001E72AF"/>
    <w:rsid w:val="001E79FD"/>
    <w:rsid w:val="001F15E0"/>
    <w:rsid w:val="001F1BF2"/>
    <w:rsid w:val="001F5038"/>
    <w:rsid w:val="00201BEC"/>
    <w:rsid w:val="00204AE6"/>
    <w:rsid w:val="00207068"/>
    <w:rsid w:val="002132AF"/>
    <w:rsid w:val="002167F1"/>
    <w:rsid w:val="00217879"/>
    <w:rsid w:val="002203A3"/>
    <w:rsid w:val="002206DB"/>
    <w:rsid w:val="00227472"/>
    <w:rsid w:val="002319BD"/>
    <w:rsid w:val="00232FAC"/>
    <w:rsid w:val="00237A8B"/>
    <w:rsid w:val="002407B9"/>
    <w:rsid w:val="00241293"/>
    <w:rsid w:val="002413B5"/>
    <w:rsid w:val="00242E05"/>
    <w:rsid w:val="00243392"/>
    <w:rsid w:val="00244235"/>
    <w:rsid w:val="002463F5"/>
    <w:rsid w:val="00252DF1"/>
    <w:rsid w:val="002535A3"/>
    <w:rsid w:val="00257B88"/>
    <w:rsid w:val="00257BF4"/>
    <w:rsid w:val="002628C7"/>
    <w:rsid w:val="00263100"/>
    <w:rsid w:val="002632E8"/>
    <w:rsid w:val="00263CB5"/>
    <w:rsid w:val="00267172"/>
    <w:rsid w:val="00274307"/>
    <w:rsid w:val="00275151"/>
    <w:rsid w:val="00275CB0"/>
    <w:rsid w:val="002773F4"/>
    <w:rsid w:val="002800DE"/>
    <w:rsid w:val="00280478"/>
    <w:rsid w:val="00281176"/>
    <w:rsid w:val="002819B5"/>
    <w:rsid w:val="002820BA"/>
    <w:rsid w:val="00282ECF"/>
    <w:rsid w:val="00293157"/>
    <w:rsid w:val="002940C5"/>
    <w:rsid w:val="0029619A"/>
    <w:rsid w:val="0029724A"/>
    <w:rsid w:val="002A2BD2"/>
    <w:rsid w:val="002A7661"/>
    <w:rsid w:val="002B1C84"/>
    <w:rsid w:val="002C1DD1"/>
    <w:rsid w:val="002C3148"/>
    <w:rsid w:val="002C3641"/>
    <w:rsid w:val="002C5694"/>
    <w:rsid w:val="002C71B3"/>
    <w:rsid w:val="002C7499"/>
    <w:rsid w:val="002D1559"/>
    <w:rsid w:val="002D2D86"/>
    <w:rsid w:val="002D33D2"/>
    <w:rsid w:val="002D4736"/>
    <w:rsid w:val="002E1057"/>
    <w:rsid w:val="002E253D"/>
    <w:rsid w:val="002F0418"/>
    <w:rsid w:val="002F0CB7"/>
    <w:rsid w:val="002F68DB"/>
    <w:rsid w:val="002F72D1"/>
    <w:rsid w:val="00300096"/>
    <w:rsid w:val="003003E8"/>
    <w:rsid w:val="00302F99"/>
    <w:rsid w:val="00305988"/>
    <w:rsid w:val="003062BC"/>
    <w:rsid w:val="00307C0A"/>
    <w:rsid w:val="00311B27"/>
    <w:rsid w:val="0031301A"/>
    <w:rsid w:val="0031571A"/>
    <w:rsid w:val="00315AC6"/>
    <w:rsid w:val="00316EB9"/>
    <w:rsid w:val="003216E9"/>
    <w:rsid w:val="0032312A"/>
    <w:rsid w:val="00324BEB"/>
    <w:rsid w:val="00324C66"/>
    <w:rsid w:val="00326875"/>
    <w:rsid w:val="00330A62"/>
    <w:rsid w:val="00336733"/>
    <w:rsid w:val="00336C1C"/>
    <w:rsid w:val="00341D7A"/>
    <w:rsid w:val="00342866"/>
    <w:rsid w:val="00347B1C"/>
    <w:rsid w:val="00347B7E"/>
    <w:rsid w:val="003518D1"/>
    <w:rsid w:val="00352D42"/>
    <w:rsid w:val="003546B0"/>
    <w:rsid w:val="00357323"/>
    <w:rsid w:val="00360549"/>
    <w:rsid w:val="0037151F"/>
    <w:rsid w:val="00371F80"/>
    <w:rsid w:val="003721CA"/>
    <w:rsid w:val="003746CE"/>
    <w:rsid w:val="00374EDE"/>
    <w:rsid w:val="003760B2"/>
    <w:rsid w:val="00376186"/>
    <w:rsid w:val="00376821"/>
    <w:rsid w:val="00377066"/>
    <w:rsid w:val="00381AA7"/>
    <w:rsid w:val="00383B13"/>
    <w:rsid w:val="00390FAF"/>
    <w:rsid w:val="003942F6"/>
    <w:rsid w:val="00395F62"/>
    <w:rsid w:val="00396164"/>
    <w:rsid w:val="003B38C9"/>
    <w:rsid w:val="003B3A40"/>
    <w:rsid w:val="003B4BF5"/>
    <w:rsid w:val="003B6A1E"/>
    <w:rsid w:val="003B7F45"/>
    <w:rsid w:val="003C3733"/>
    <w:rsid w:val="003C4034"/>
    <w:rsid w:val="003C4975"/>
    <w:rsid w:val="003C4A75"/>
    <w:rsid w:val="003C53C6"/>
    <w:rsid w:val="003C5C49"/>
    <w:rsid w:val="003C7B78"/>
    <w:rsid w:val="003C7DAC"/>
    <w:rsid w:val="003D181A"/>
    <w:rsid w:val="003D20CB"/>
    <w:rsid w:val="003D2126"/>
    <w:rsid w:val="003D21E3"/>
    <w:rsid w:val="003D2A7D"/>
    <w:rsid w:val="003D319C"/>
    <w:rsid w:val="003D319E"/>
    <w:rsid w:val="003D6FEE"/>
    <w:rsid w:val="003E07F6"/>
    <w:rsid w:val="003E4321"/>
    <w:rsid w:val="003E4FEE"/>
    <w:rsid w:val="003E53D7"/>
    <w:rsid w:val="003E6FBF"/>
    <w:rsid w:val="003E73AA"/>
    <w:rsid w:val="003F09B3"/>
    <w:rsid w:val="003F1ABC"/>
    <w:rsid w:val="003F2208"/>
    <w:rsid w:val="003F5848"/>
    <w:rsid w:val="003F61BF"/>
    <w:rsid w:val="00400EFE"/>
    <w:rsid w:val="00403DCB"/>
    <w:rsid w:val="00404D61"/>
    <w:rsid w:val="004056E0"/>
    <w:rsid w:val="004075A3"/>
    <w:rsid w:val="0041077F"/>
    <w:rsid w:val="00410AE1"/>
    <w:rsid w:val="004142D9"/>
    <w:rsid w:val="00415193"/>
    <w:rsid w:val="00416186"/>
    <w:rsid w:val="00417D6E"/>
    <w:rsid w:val="00421111"/>
    <w:rsid w:val="00422E81"/>
    <w:rsid w:val="00422ED9"/>
    <w:rsid w:val="00427009"/>
    <w:rsid w:val="0042704E"/>
    <w:rsid w:val="00427BF9"/>
    <w:rsid w:val="00430CC6"/>
    <w:rsid w:val="00434B91"/>
    <w:rsid w:val="0043585D"/>
    <w:rsid w:val="00435974"/>
    <w:rsid w:val="00435B56"/>
    <w:rsid w:val="0043606D"/>
    <w:rsid w:val="00437932"/>
    <w:rsid w:val="00442028"/>
    <w:rsid w:val="00443186"/>
    <w:rsid w:val="004455D9"/>
    <w:rsid w:val="00445A49"/>
    <w:rsid w:val="004460A6"/>
    <w:rsid w:val="004549A1"/>
    <w:rsid w:val="00455FAB"/>
    <w:rsid w:val="00460DE8"/>
    <w:rsid w:val="00461009"/>
    <w:rsid w:val="00461878"/>
    <w:rsid w:val="00462F72"/>
    <w:rsid w:val="00464DF4"/>
    <w:rsid w:val="00467E53"/>
    <w:rsid w:val="00473027"/>
    <w:rsid w:val="00473BB3"/>
    <w:rsid w:val="004740AD"/>
    <w:rsid w:val="004808CE"/>
    <w:rsid w:val="0048171B"/>
    <w:rsid w:val="00481C3E"/>
    <w:rsid w:val="004853DC"/>
    <w:rsid w:val="00485D79"/>
    <w:rsid w:val="0048656E"/>
    <w:rsid w:val="004874B4"/>
    <w:rsid w:val="00487C52"/>
    <w:rsid w:val="00490528"/>
    <w:rsid w:val="00492010"/>
    <w:rsid w:val="004940EB"/>
    <w:rsid w:val="0049450B"/>
    <w:rsid w:val="004977E3"/>
    <w:rsid w:val="004A09D9"/>
    <w:rsid w:val="004A1DCA"/>
    <w:rsid w:val="004A50D3"/>
    <w:rsid w:val="004A6DE9"/>
    <w:rsid w:val="004B0613"/>
    <w:rsid w:val="004B199B"/>
    <w:rsid w:val="004B58F7"/>
    <w:rsid w:val="004B6869"/>
    <w:rsid w:val="004B6EBC"/>
    <w:rsid w:val="004C0FD3"/>
    <w:rsid w:val="004C26DD"/>
    <w:rsid w:val="004C6549"/>
    <w:rsid w:val="004C7E1D"/>
    <w:rsid w:val="004D2024"/>
    <w:rsid w:val="004D4740"/>
    <w:rsid w:val="004D4796"/>
    <w:rsid w:val="004D4D58"/>
    <w:rsid w:val="004D55AE"/>
    <w:rsid w:val="004D5AE3"/>
    <w:rsid w:val="004E2D19"/>
    <w:rsid w:val="004E338B"/>
    <w:rsid w:val="004E6FCD"/>
    <w:rsid w:val="004F4CAB"/>
    <w:rsid w:val="0050100D"/>
    <w:rsid w:val="00501500"/>
    <w:rsid w:val="0050333F"/>
    <w:rsid w:val="00505003"/>
    <w:rsid w:val="0050626C"/>
    <w:rsid w:val="00514629"/>
    <w:rsid w:val="00516441"/>
    <w:rsid w:val="0051787A"/>
    <w:rsid w:val="0052179F"/>
    <w:rsid w:val="005218BD"/>
    <w:rsid w:val="00523272"/>
    <w:rsid w:val="005233F7"/>
    <w:rsid w:val="005239F2"/>
    <w:rsid w:val="00525537"/>
    <w:rsid w:val="005278E1"/>
    <w:rsid w:val="00527916"/>
    <w:rsid w:val="00527935"/>
    <w:rsid w:val="00527E6D"/>
    <w:rsid w:val="005326DF"/>
    <w:rsid w:val="00534761"/>
    <w:rsid w:val="005411BE"/>
    <w:rsid w:val="0054317D"/>
    <w:rsid w:val="00551A22"/>
    <w:rsid w:val="00553569"/>
    <w:rsid w:val="00556D25"/>
    <w:rsid w:val="00557471"/>
    <w:rsid w:val="00560C86"/>
    <w:rsid w:val="005658B1"/>
    <w:rsid w:val="00566C8D"/>
    <w:rsid w:val="00566CAA"/>
    <w:rsid w:val="0056721E"/>
    <w:rsid w:val="00572C91"/>
    <w:rsid w:val="00574264"/>
    <w:rsid w:val="00575589"/>
    <w:rsid w:val="00575A76"/>
    <w:rsid w:val="00575B0A"/>
    <w:rsid w:val="0057775D"/>
    <w:rsid w:val="005841F9"/>
    <w:rsid w:val="005867A3"/>
    <w:rsid w:val="0059440B"/>
    <w:rsid w:val="005947A9"/>
    <w:rsid w:val="00595F2D"/>
    <w:rsid w:val="005A3120"/>
    <w:rsid w:val="005A44B2"/>
    <w:rsid w:val="005B2DFE"/>
    <w:rsid w:val="005B7F75"/>
    <w:rsid w:val="005C0558"/>
    <w:rsid w:val="005C2E62"/>
    <w:rsid w:val="005D0360"/>
    <w:rsid w:val="005D1AF3"/>
    <w:rsid w:val="005D3E4C"/>
    <w:rsid w:val="005E31E8"/>
    <w:rsid w:val="005E5BB1"/>
    <w:rsid w:val="005E6B2E"/>
    <w:rsid w:val="005F0C2A"/>
    <w:rsid w:val="005F1EC5"/>
    <w:rsid w:val="005F6899"/>
    <w:rsid w:val="00611177"/>
    <w:rsid w:val="00611B39"/>
    <w:rsid w:val="0062018F"/>
    <w:rsid w:val="00622782"/>
    <w:rsid w:val="00622EE4"/>
    <w:rsid w:val="00624432"/>
    <w:rsid w:val="0062463A"/>
    <w:rsid w:val="00626FA1"/>
    <w:rsid w:val="00631BC2"/>
    <w:rsid w:val="0063206C"/>
    <w:rsid w:val="00634283"/>
    <w:rsid w:val="006370DE"/>
    <w:rsid w:val="00641EDA"/>
    <w:rsid w:val="00645DB2"/>
    <w:rsid w:val="00650BEB"/>
    <w:rsid w:val="006518AE"/>
    <w:rsid w:val="0065485D"/>
    <w:rsid w:val="006555D6"/>
    <w:rsid w:val="00655AA7"/>
    <w:rsid w:val="00655C35"/>
    <w:rsid w:val="00657BE7"/>
    <w:rsid w:val="00661248"/>
    <w:rsid w:val="00661348"/>
    <w:rsid w:val="006632D8"/>
    <w:rsid w:val="00670D98"/>
    <w:rsid w:val="006716BE"/>
    <w:rsid w:val="00672B21"/>
    <w:rsid w:val="0067326B"/>
    <w:rsid w:val="00676474"/>
    <w:rsid w:val="00684C16"/>
    <w:rsid w:val="00686BE2"/>
    <w:rsid w:val="00691114"/>
    <w:rsid w:val="006955B1"/>
    <w:rsid w:val="00697521"/>
    <w:rsid w:val="006A1182"/>
    <w:rsid w:val="006B0254"/>
    <w:rsid w:val="006B1BED"/>
    <w:rsid w:val="006B21CA"/>
    <w:rsid w:val="006B304D"/>
    <w:rsid w:val="006B3192"/>
    <w:rsid w:val="006C01CC"/>
    <w:rsid w:val="006C28C6"/>
    <w:rsid w:val="006D34D7"/>
    <w:rsid w:val="006D5EE5"/>
    <w:rsid w:val="006D6849"/>
    <w:rsid w:val="006D6B9C"/>
    <w:rsid w:val="006D6D29"/>
    <w:rsid w:val="006D74D4"/>
    <w:rsid w:val="006D7770"/>
    <w:rsid w:val="006D7CD3"/>
    <w:rsid w:val="006E1688"/>
    <w:rsid w:val="006E345F"/>
    <w:rsid w:val="006E5691"/>
    <w:rsid w:val="006F18A0"/>
    <w:rsid w:val="006F27D5"/>
    <w:rsid w:val="0070060C"/>
    <w:rsid w:val="0070116A"/>
    <w:rsid w:val="0070178E"/>
    <w:rsid w:val="0070238F"/>
    <w:rsid w:val="00704A66"/>
    <w:rsid w:val="00706C60"/>
    <w:rsid w:val="00707345"/>
    <w:rsid w:val="00710621"/>
    <w:rsid w:val="007131BE"/>
    <w:rsid w:val="0071642B"/>
    <w:rsid w:val="00717CA9"/>
    <w:rsid w:val="007207A4"/>
    <w:rsid w:val="00720A2A"/>
    <w:rsid w:val="00724A47"/>
    <w:rsid w:val="0072585F"/>
    <w:rsid w:val="0072710F"/>
    <w:rsid w:val="00734A96"/>
    <w:rsid w:val="007369A1"/>
    <w:rsid w:val="00741587"/>
    <w:rsid w:val="00741DC3"/>
    <w:rsid w:val="0075264B"/>
    <w:rsid w:val="0075679A"/>
    <w:rsid w:val="007570EE"/>
    <w:rsid w:val="00762D3D"/>
    <w:rsid w:val="00763EA7"/>
    <w:rsid w:val="00764528"/>
    <w:rsid w:val="00764A9A"/>
    <w:rsid w:val="007658E3"/>
    <w:rsid w:val="0076680D"/>
    <w:rsid w:val="0077330B"/>
    <w:rsid w:val="007749D3"/>
    <w:rsid w:val="00780AC0"/>
    <w:rsid w:val="00783DBF"/>
    <w:rsid w:val="00786E89"/>
    <w:rsid w:val="00790AB8"/>
    <w:rsid w:val="007920EB"/>
    <w:rsid w:val="00793483"/>
    <w:rsid w:val="007A0BBF"/>
    <w:rsid w:val="007A2684"/>
    <w:rsid w:val="007A2FDA"/>
    <w:rsid w:val="007B0301"/>
    <w:rsid w:val="007B0E70"/>
    <w:rsid w:val="007B2D2D"/>
    <w:rsid w:val="007B3A55"/>
    <w:rsid w:val="007B7474"/>
    <w:rsid w:val="007C3A2D"/>
    <w:rsid w:val="007C6C46"/>
    <w:rsid w:val="007D1D33"/>
    <w:rsid w:val="007D31F8"/>
    <w:rsid w:val="007D320F"/>
    <w:rsid w:val="007D4083"/>
    <w:rsid w:val="007D41E4"/>
    <w:rsid w:val="007D4E9D"/>
    <w:rsid w:val="007D612F"/>
    <w:rsid w:val="007E1865"/>
    <w:rsid w:val="007E32E1"/>
    <w:rsid w:val="007E3DF8"/>
    <w:rsid w:val="007E511C"/>
    <w:rsid w:val="007F40A3"/>
    <w:rsid w:val="007F6355"/>
    <w:rsid w:val="007F6ECE"/>
    <w:rsid w:val="00801672"/>
    <w:rsid w:val="008021C8"/>
    <w:rsid w:val="00805CB4"/>
    <w:rsid w:val="00805EA7"/>
    <w:rsid w:val="008063F7"/>
    <w:rsid w:val="008121A1"/>
    <w:rsid w:val="0081596D"/>
    <w:rsid w:val="008165CD"/>
    <w:rsid w:val="00820944"/>
    <w:rsid w:val="008213FF"/>
    <w:rsid w:val="00824BA1"/>
    <w:rsid w:val="00825D0F"/>
    <w:rsid w:val="0082708B"/>
    <w:rsid w:val="00831190"/>
    <w:rsid w:val="00832E66"/>
    <w:rsid w:val="00835C2D"/>
    <w:rsid w:val="00840790"/>
    <w:rsid w:val="00840D25"/>
    <w:rsid w:val="0084242A"/>
    <w:rsid w:val="00842D59"/>
    <w:rsid w:val="00843995"/>
    <w:rsid w:val="008452FC"/>
    <w:rsid w:val="008478BB"/>
    <w:rsid w:val="00850689"/>
    <w:rsid w:val="0085076E"/>
    <w:rsid w:val="00855FCF"/>
    <w:rsid w:val="00856778"/>
    <w:rsid w:val="00862DEB"/>
    <w:rsid w:val="008632F3"/>
    <w:rsid w:val="00865BCA"/>
    <w:rsid w:val="00865E9D"/>
    <w:rsid w:val="00867537"/>
    <w:rsid w:val="00872343"/>
    <w:rsid w:val="00874BB1"/>
    <w:rsid w:val="00876AC5"/>
    <w:rsid w:val="00877BCB"/>
    <w:rsid w:val="0088034A"/>
    <w:rsid w:val="00880807"/>
    <w:rsid w:val="00883C7F"/>
    <w:rsid w:val="00885329"/>
    <w:rsid w:val="008859C1"/>
    <w:rsid w:val="00890F65"/>
    <w:rsid w:val="00892608"/>
    <w:rsid w:val="00892677"/>
    <w:rsid w:val="00893A14"/>
    <w:rsid w:val="00895754"/>
    <w:rsid w:val="00896139"/>
    <w:rsid w:val="008966D4"/>
    <w:rsid w:val="0089725F"/>
    <w:rsid w:val="008A059F"/>
    <w:rsid w:val="008A1843"/>
    <w:rsid w:val="008A402C"/>
    <w:rsid w:val="008A5BD1"/>
    <w:rsid w:val="008A5DA3"/>
    <w:rsid w:val="008B602A"/>
    <w:rsid w:val="008C0DA2"/>
    <w:rsid w:val="008C158A"/>
    <w:rsid w:val="008C6C8C"/>
    <w:rsid w:val="008D0828"/>
    <w:rsid w:val="008D3E31"/>
    <w:rsid w:val="008D434D"/>
    <w:rsid w:val="008D4C05"/>
    <w:rsid w:val="008D7EDB"/>
    <w:rsid w:val="008E2A63"/>
    <w:rsid w:val="008E57B4"/>
    <w:rsid w:val="008E6995"/>
    <w:rsid w:val="008E72F4"/>
    <w:rsid w:val="008E771A"/>
    <w:rsid w:val="008F100E"/>
    <w:rsid w:val="008F159E"/>
    <w:rsid w:val="008F24C0"/>
    <w:rsid w:val="008F51C6"/>
    <w:rsid w:val="008F7015"/>
    <w:rsid w:val="00900066"/>
    <w:rsid w:val="00900C78"/>
    <w:rsid w:val="0090238B"/>
    <w:rsid w:val="00903055"/>
    <w:rsid w:val="009054B0"/>
    <w:rsid w:val="0090553E"/>
    <w:rsid w:val="0091011F"/>
    <w:rsid w:val="009119B0"/>
    <w:rsid w:val="0092245E"/>
    <w:rsid w:val="009256FA"/>
    <w:rsid w:val="00925803"/>
    <w:rsid w:val="009323F4"/>
    <w:rsid w:val="00932CAF"/>
    <w:rsid w:val="00935215"/>
    <w:rsid w:val="00940643"/>
    <w:rsid w:val="00941F9F"/>
    <w:rsid w:val="0094261D"/>
    <w:rsid w:val="00942A63"/>
    <w:rsid w:val="009431A3"/>
    <w:rsid w:val="00943597"/>
    <w:rsid w:val="00947643"/>
    <w:rsid w:val="00954C2B"/>
    <w:rsid w:val="00956665"/>
    <w:rsid w:val="0095739B"/>
    <w:rsid w:val="00963286"/>
    <w:rsid w:val="00972931"/>
    <w:rsid w:val="009753A2"/>
    <w:rsid w:val="00977FA3"/>
    <w:rsid w:val="00980E97"/>
    <w:rsid w:val="0098103A"/>
    <w:rsid w:val="00981CE2"/>
    <w:rsid w:val="009856B2"/>
    <w:rsid w:val="00987D4A"/>
    <w:rsid w:val="009903E5"/>
    <w:rsid w:val="00992A2F"/>
    <w:rsid w:val="009935BA"/>
    <w:rsid w:val="00996D22"/>
    <w:rsid w:val="009974FD"/>
    <w:rsid w:val="009A07B1"/>
    <w:rsid w:val="009A3560"/>
    <w:rsid w:val="009A68EF"/>
    <w:rsid w:val="009B1F50"/>
    <w:rsid w:val="009B2437"/>
    <w:rsid w:val="009B315F"/>
    <w:rsid w:val="009B430E"/>
    <w:rsid w:val="009C1525"/>
    <w:rsid w:val="009C30C3"/>
    <w:rsid w:val="009C40DE"/>
    <w:rsid w:val="009D0D20"/>
    <w:rsid w:val="009D24AC"/>
    <w:rsid w:val="009D2C48"/>
    <w:rsid w:val="009D2DB6"/>
    <w:rsid w:val="009D4FE1"/>
    <w:rsid w:val="009D5FE3"/>
    <w:rsid w:val="009E07E4"/>
    <w:rsid w:val="009E2E56"/>
    <w:rsid w:val="009E4597"/>
    <w:rsid w:val="009E7882"/>
    <w:rsid w:val="009F1C72"/>
    <w:rsid w:val="009F1CE5"/>
    <w:rsid w:val="009F235D"/>
    <w:rsid w:val="009F426F"/>
    <w:rsid w:val="009F4D7B"/>
    <w:rsid w:val="009F7C66"/>
    <w:rsid w:val="009F7FF6"/>
    <w:rsid w:val="00A01A09"/>
    <w:rsid w:val="00A02E81"/>
    <w:rsid w:val="00A1084A"/>
    <w:rsid w:val="00A16DA7"/>
    <w:rsid w:val="00A2352B"/>
    <w:rsid w:val="00A23EF7"/>
    <w:rsid w:val="00A2455F"/>
    <w:rsid w:val="00A272C8"/>
    <w:rsid w:val="00A31A9B"/>
    <w:rsid w:val="00A32239"/>
    <w:rsid w:val="00A40713"/>
    <w:rsid w:val="00A4136D"/>
    <w:rsid w:val="00A418C2"/>
    <w:rsid w:val="00A4283B"/>
    <w:rsid w:val="00A459A8"/>
    <w:rsid w:val="00A46BE4"/>
    <w:rsid w:val="00A5216E"/>
    <w:rsid w:val="00A5309D"/>
    <w:rsid w:val="00A550FF"/>
    <w:rsid w:val="00A632BF"/>
    <w:rsid w:val="00A6472E"/>
    <w:rsid w:val="00A650C3"/>
    <w:rsid w:val="00A67B85"/>
    <w:rsid w:val="00A7008F"/>
    <w:rsid w:val="00A71511"/>
    <w:rsid w:val="00A7212E"/>
    <w:rsid w:val="00A73017"/>
    <w:rsid w:val="00A756C5"/>
    <w:rsid w:val="00A81C6A"/>
    <w:rsid w:val="00A8321B"/>
    <w:rsid w:val="00A871D9"/>
    <w:rsid w:val="00A90781"/>
    <w:rsid w:val="00A93123"/>
    <w:rsid w:val="00A93418"/>
    <w:rsid w:val="00A97393"/>
    <w:rsid w:val="00AA2698"/>
    <w:rsid w:val="00AA4EA3"/>
    <w:rsid w:val="00AA6E44"/>
    <w:rsid w:val="00AB33FD"/>
    <w:rsid w:val="00AB6021"/>
    <w:rsid w:val="00AB61FF"/>
    <w:rsid w:val="00AB6BC0"/>
    <w:rsid w:val="00AC06FB"/>
    <w:rsid w:val="00AC0AE5"/>
    <w:rsid w:val="00AC1B6D"/>
    <w:rsid w:val="00AC260A"/>
    <w:rsid w:val="00AC35E4"/>
    <w:rsid w:val="00AC5F83"/>
    <w:rsid w:val="00AC7C89"/>
    <w:rsid w:val="00AD04D5"/>
    <w:rsid w:val="00AD16AC"/>
    <w:rsid w:val="00AD1B26"/>
    <w:rsid w:val="00AD1B37"/>
    <w:rsid w:val="00AD2FD0"/>
    <w:rsid w:val="00AD7FBF"/>
    <w:rsid w:val="00AE1332"/>
    <w:rsid w:val="00AE1841"/>
    <w:rsid w:val="00AE2433"/>
    <w:rsid w:val="00AE3E33"/>
    <w:rsid w:val="00AE5B72"/>
    <w:rsid w:val="00AE6005"/>
    <w:rsid w:val="00AE6F36"/>
    <w:rsid w:val="00AE78E0"/>
    <w:rsid w:val="00AF22B0"/>
    <w:rsid w:val="00AF2850"/>
    <w:rsid w:val="00AF739D"/>
    <w:rsid w:val="00AF7B1B"/>
    <w:rsid w:val="00B0077D"/>
    <w:rsid w:val="00B00F95"/>
    <w:rsid w:val="00B018DB"/>
    <w:rsid w:val="00B01B0C"/>
    <w:rsid w:val="00B021AC"/>
    <w:rsid w:val="00B02CD1"/>
    <w:rsid w:val="00B03C28"/>
    <w:rsid w:val="00B04EB6"/>
    <w:rsid w:val="00B06EA3"/>
    <w:rsid w:val="00B13B81"/>
    <w:rsid w:val="00B1527D"/>
    <w:rsid w:val="00B15AA4"/>
    <w:rsid w:val="00B15D4C"/>
    <w:rsid w:val="00B26927"/>
    <w:rsid w:val="00B30DDE"/>
    <w:rsid w:val="00B31FF0"/>
    <w:rsid w:val="00B3260C"/>
    <w:rsid w:val="00B354BE"/>
    <w:rsid w:val="00B37BC1"/>
    <w:rsid w:val="00B40FB5"/>
    <w:rsid w:val="00B42C34"/>
    <w:rsid w:val="00B44936"/>
    <w:rsid w:val="00B46AB0"/>
    <w:rsid w:val="00B51863"/>
    <w:rsid w:val="00B52C54"/>
    <w:rsid w:val="00B56815"/>
    <w:rsid w:val="00B5778C"/>
    <w:rsid w:val="00B60B44"/>
    <w:rsid w:val="00B666AC"/>
    <w:rsid w:val="00B66C61"/>
    <w:rsid w:val="00B67776"/>
    <w:rsid w:val="00B7667D"/>
    <w:rsid w:val="00B77028"/>
    <w:rsid w:val="00B813E8"/>
    <w:rsid w:val="00B8294F"/>
    <w:rsid w:val="00B84B64"/>
    <w:rsid w:val="00B85D7D"/>
    <w:rsid w:val="00B90171"/>
    <w:rsid w:val="00B91E75"/>
    <w:rsid w:val="00B94845"/>
    <w:rsid w:val="00B95566"/>
    <w:rsid w:val="00BA56F4"/>
    <w:rsid w:val="00BA76E3"/>
    <w:rsid w:val="00BB0744"/>
    <w:rsid w:val="00BB2AE1"/>
    <w:rsid w:val="00BB318E"/>
    <w:rsid w:val="00BB5B20"/>
    <w:rsid w:val="00BB7E70"/>
    <w:rsid w:val="00BC13E8"/>
    <w:rsid w:val="00BC16F3"/>
    <w:rsid w:val="00BC21E7"/>
    <w:rsid w:val="00BC29E5"/>
    <w:rsid w:val="00BC3FD2"/>
    <w:rsid w:val="00BC6340"/>
    <w:rsid w:val="00BC6964"/>
    <w:rsid w:val="00BD031D"/>
    <w:rsid w:val="00BD2BA3"/>
    <w:rsid w:val="00BD725F"/>
    <w:rsid w:val="00BE0977"/>
    <w:rsid w:val="00BE3BE0"/>
    <w:rsid w:val="00BE3FAD"/>
    <w:rsid w:val="00BE4A81"/>
    <w:rsid w:val="00BE5A55"/>
    <w:rsid w:val="00BF00D4"/>
    <w:rsid w:val="00BF1BB3"/>
    <w:rsid w:val="00BF344B"/>
    <w:rsid w:val="00BF5AE0"/>
    <w:rsid w:val="00BF61ED"/>
    <w:rsid w:val="00C0018A"/>
    <w:rsid w:val="00C044E7"/>
    <w:rsid w:val="00C06776"/>
    <w:rsid w:val="00C11C00"/>
    <w:rsid w:val="00C21A54"/>
    <w:rsid w:val="00C22465"/>
    <w:rsid w:val="00C22D44"/>
    <w:rsid w:val="00C3045A"/>
    <w:rsid w:val="00C30F16"/>
    <w:rsid w:val="00C4038A"/>
    <w:rsid w:val="00C41C05"/>
    <w:rsid w:val="00C433DA"/>
    <w:rsid w:val="00C51BCF"/>
    <w:rsid w:val="00C55881"/>
    <w:rsid w:val="00C56D54"/>
    <w:rsid w:val="00C61386"/>
    <w:rsid w:val="00C62350"/>
    <w:rsid w:val="00C65378"/>
    <w:rsid w:val="00C67C64"/>
    <w:rsid w:val="00C70805"/>
    <w:rsid w:val="00C71AC9"/>
    <w:rsid w:val="00C720BD"/>
    <w:rsid w:val="00C72F77"/>
    <w:rsid w:val="00C7303F"/>
    <w:rsid w:val="00C76273"/>
    <w:rsid w:val="00C77FF7"/>
    <w:rsid w:val="00C81B5F"/>
    <w:rsid w:val="00C8363F"/>
    <w:rsid w:val="00C848A9"/>
    <w:rsid w:val="00C867EB"/>
    <w:rsid w:val="00C87457"/>
    <w:rsid w:val="00C913F8"/>
    <w:rsid w:val="00C95499"/>
    <w:rsid w:val="00C96340"/>
    <w:rsid w:val="00CB477B"/>
    <w:rsid w:val="00CC17DE"/>
    <w:rsid w:val="00CC3C4F"/>
    <w:rsid w:val="00CC7150"/>
    <w:rsid w:val="00CD0021"/>
    <w:rsid w:val="00CD011D"/>
    <w:rsid w:val="00CD336E"/>
    <w:rsid w:val="00CD4466"/>
    <w:rsid w:val="00CD5B17"/>
    <w:rsid w:val="00CE04D4"/>
    <w:rsid w:val="00CE0DE9"/>
    <w:rsid w:val="00CE2108"/>
    <w:rsid w:val="00CE2331"/>
    <w:rsid w:val="00CE5989"/>
    <w:rsid w:val="00CE6D33"/>
    <w:rsid w:val="00CE7B58"/>
    <w:rsid w:val="00CF06FF"/>
    <w:rsid w:val="00CF3CD9"/>
    <w:rsid w:val="00CF64F9"/>
    <w:rsid w:val="00CF6557"/>
    <w:rsid w:val="00D00FE3"/>
    <w:rsid w:val="00D0241E"/>
    <w:rsid w:val="00D030BB"/>
    <w:rsid w:val="00D038DF"/>
    <w:rsid w:val="00D03ACF"/>
    <w:rsid w:val="00D03B29"/>
    <w:rsid w:val="00D03CEE"/>
    <w:rsid w:val="00D042B6"/>
    <w:rsid w:val="00D075F5"/>
    <w:rsid w:val="00D11DB6"/>
    <w:rsid w:val="00D1221E"/>
    <w:rsid w:val="00D135CF"/>
    <w:rsid w:val="00D17118"/>
    <w:rsid w:val="00D17E59"/>
    <w:rsid w:val="00D20354"/>
    <w:rsid w:val="00D20A13"/>
    <w:rsid w:val="00D20DB5"/>
    <w:rsid w:val="00D223DA"/>
    <w:rsid w:val="00D23DC3"/>
    <w:rsid w:val="00D25B40"/>
    <w:rsid w:val="00D27F2D"/>
    <w:rsid w:val="00D33BD2"/>
    <w:rsid w:val="00D3524A"/>
    <w:rsid w:val="00D36C61"/>
    <w:rsid w:val="00D374A1"/>
    <w:rsid w:val="00D434A6"/>
    <w:rsid w:val="00D44FBC"/>
    <w:rsid w:val="00D46446"/>
    <w:rsid w:val="00D46D0F"/>
    <w:rsid w:val="00D47B8F"/>
    <w:rsid w:val="00D47E68"/>
    <w:rsid w:val="00D515AC"/>
    <w:rsid w:val="00D51AC0"/>
    <w:rsid w:val="00D542AC"/>
    <w:rsid w:val="00D55A14"/>
    <w:rsid w:val="00D609EE"/>
    <w:rsid w:val="00D60C96"/>
    <w:rsid w:val="00D62A8D"/>
    <w:rsid w:val="00D62B1A"/>
    <w:rsid w:val="00D62D4B"/>
    <w:rsid w:val="00D6781C"/>
    <w:rsid w:val="00D718D1"/>
    <w:rsid w:val="00D81195"/>
    <w:rsid w:val="00D83EB4"/>
    <w:rsid w:val="00D84AF7"/>
    <w:rsid w:val="00D85C27"/>
    <w:rsid w:val="00D9196D"/>
    <w:rsid w:val="00D93066"/>
    <w:rsid w:val="00D94083"/>
    <w:rsid w:val="00D943C0"/>
    <w:rsid w:val="00D94DEB"/>
    <w:rsid w:val="00D95505"/>
    <w:rsid w:val="00D97C3A"/>
    <w:rsid w:val="00DA2C08"/>
    <w:rsid w:val="00DA67BB"/>
    <w:rsid w:val="00DA79AB"/>
    <w:rsid w:val="00DB1989"/>
    <w:rsid w:val="00DB29EC"/>
    <w:rsid w:val="00DB350D"/>
    <w:rsid w:val="00DB3C7E"/>
    <w:rsid w:val="00DC3208"/>
    <w:rsid w:val="00DC3DCF"/>
    <w:rsid w:val="00DC4280"/>
    <w:rsid w:val="00DC695A"/>
    <w:rsid w:val="00DD1E8B"/>
    <w:rsid w:val="00DD2906"/>
    <w:rsid w:val="00DD2A23"/>
    <w:rsid w:val="00DD2F1D"/>
    <w:rsid w:val="00DD3281"/>
    <w:rsid w:val="00DD461B"/>
    <w:rsid w:val="00DD69FC"/>
    <w:rsid w:val="00DD72E4"/>
    <w:rsid w:val="00DE009D"/>
    <w:rsid w:val="00DE225B"/>
    <w:rsid w:val="00DE2BF4"/>
    <w:rsid w:val="00DE6CAD"/>
    <w:rsid w:val="00DF2AB6"/>
    <w:rsid w:val="00DF2DEA"/>
    <w:rsid w:val="00DF5330"/>
    <w:rsid w:val="00DF6AD0"/>
    <w:rsid w:val="00DF7069"/>
    <w:rsid w:val="00E00F6D"/>
    <w:rsid w:val="00E014FB"/>
    <w:rsid w:val="00E023C5"/>
    <w:rsid w:val="00E032EA"/>
    <w:rsid w:val="00E0414A"/>
    <w:rsid w:val="00E04A7F"/>
    <w:rsid w:val="00E05F2E"/>
    <w:rsid w:val="00E0775E"/>
    <w:rsid w:val="00E10062"/>
    <w:rsid w:val="00E1040E"/>
    <w:rsid w:val="00E1099A"/>
    <w:rsid w:val="00E10FE7"/>
    <w:rsid w:val="00E14CF7"/>
    <w:rsid w:val="00E17CF8"/>
    <w:rsid w:val="00E2037A"/>
    <w:rsid w:val="00E23EDF"/>
    <w:rsid w:val="00E24C20"/>
    <w:rsid w:val="00E260E9"/>
    <w:rsid w:val="00E30082"/>
    <w:rsid w:val="00E306CF"/>
    <w:rsid w:val="00E3159D"/>
    <w:rsid w:val="00E32C2E"/>
    <w:rsid w:val="00E372B2"/>
    <w:rsid w:val="00E41E98"/>
    <w:rsid w:val="00E41EE0"/>
    <w:rsid w:val="00E41F11"/>
    <w:rsid w:val="00E43404"/>
    <w:rsid w:val="00E4345F"/>
    <w:rsid w:val="00E436AF"/>
    <w:rsid w:val="00E43FA3"/>
    <w:rsid w:val="00E45CB2"/>
    <w:rsid w:val="00E53D3B"/>
    <w:rsid w:val="00E572EA"/>
    <w:rsid w:val="00E60A6E"/>
    <w:rsid w:val="00E6200F"/>
    <w:rsid w:val="00E63982"/>
    <w:rsid w:val="00E703E5"/>
    <w:rsid w:val="00E72049"/>
    <w:rsid w:val="00E73577"/>
    <w:rsid w:val="00E83FA5"/>
    <w:rsid w:val="00E84BE9"/>
    <w:rsid w:val="00E8580D"/>
    <w:rsid w:val="00E90C08"/>
    <w:rsid w:val="00E91943"/>
    <w:rsid w:val="00E9770A"/>
    <w:rsid w:val="00EA009D"/>
    <w:rsid w:val="00EA0FBD"/>
    <w:rsid w:val="00EA115A"/>
    <w:rsid w:val="00EA1E3E"/>
    <w:rsid w:val="00EA4F1D"/>
    <w:rsid w:val="00EB1834"/>
    <w:rsid w:val="00EB47D6"/>
    <w:rsid w:val="00EB6302"/>
    <w:rsid w:val="00EC0992"/>
    <w:rsid w:val="00EC123E"/>
    <w:rsid w:val="00EC6D2D"/>
    <w:rsid w:val="00EC74B5"/>
    <w:rsid w:val="00EC76A2"/>
    <w:rsid w:val="00ED08E3"/>
    <w:rsid w:val="00ED2EB3"/>
    <w:rsid w:val="00ED493D"/>
    <w:rsid w:val="00EE0B40"/>
    <w:rsid w:val="00EE1083"/>
    <w:rsid w:val="00EE1AEC"/>
    <w:rsid w:val="00EE21D0"/>
    <w:rsid w:val="00EE2659"/>
    <w:rsid w:val="00EE2706"/>
    <w:rsid w:val="00EE3F0B"/>
    <w:rsid w:val="00EF2469"/>
    <w:rsid w:val="00EF445E"/>
    <w:rsid w:val="00F01D55"/>
    <w:rsid w:val="00F06959"/>
    <w:rsid w:val="00F10F56"/>
    <w:rsid w:val="00F14782"/>
    <w:rsid w:val="00F16A69"/>
    <w:rsid w:val="00F212D7"/>
    <w:rsid w:val="00F27B21"/>
    <w:rsid w:val="00F27C5F"/>
    <w:rsid w:val="00F313B0"/>
    <w:rsid w:val="00F31ABF"/>
    <w:rsid w:val="00F32248"/>
    <w:rsid w:val="00F32C0B"/>
    <w:rsid w:val="00F358CA"/>
    <w:rsid w:val="00F364AA"/>
    <w:rsid w:val="00F411D4"/>
    <w:rsid w:val="00F46033"/>
    <w:rsid w:val="00F475BA"/>
    <w:rsid w:val="00F508DA"/>
    <w:rsid w:val="00F50B67"/>
    <w:rsid w:val="00F52CDC"/>
    <w:rsid w:val="00F53732"/>
    <w:rsid w:val="00F54C95"/>
    <w:rsid w:val="00F60912"/>
    <w:rsid w:val="00F614E4"/>
    <w:rsid w:val="00F63E57"/>
    <w:rsid w:val="00F6555C"/>
    <w:rsid w:val="00F6636C"/>
    <w:rsid w:val="00F669DA"/>
    <w:rsid w:val="00F71E1D"/>
    <w:rsid w:val="00F7332B"/>
    <w:rsid w:val="00F82C08"/>
    <w:rsid w:val="00F84540"/>
    <w:rsid w:val="00F8519B"/>
    <w:rsid w:val="00F852F7"/>
    <w:rsid w:val="00F862C8"/>
    <w:rsid w:val="00F86A56"/>
    <w:rsid w:val="00F906CD"/>
    <w:rsid w:val="00F93580"/>
    <w:rsid w:val="00F942FF"/>
    <w:rsid w:val="00F94C85"/>
    <w:rsid w:val="00F97148"/>
    <w:rsid w:val="00FA0BC3"/>
    <w:rsid w:val="00FA0BF3"/>
    <w:rsid w:val="00FA0C9A"/>
    <w:rsid w:val="00FA2BC4"/>
    <w:rsid w:val="00FA312C"/>
    <w:rsid w:val="00FA3457"/>
    <w:rsid w:val="00FA37E2"/>
    <w:rsid w:val="00FB07EB"/>
    <w:rsid w:val="00FB0F4A"/>
    <w:rsid w:val="00FB1128"/>
    <w:rsid w:val="00FB1D68"/>
    <w:rsid w:val="00FB24AE"/>
    <w:rsid w:val="00FB3B31"/>
    <w:rsid w:val="00FB54A5"/>
    <w:rsid w:val="00FB6B9A"/>
    <w:rsid w:val="00FC2E2C"/>
    <w:rsid w:val="00FD45E0"/>
    <w:rsid w:val="00FD5E32"/>
    <w:rsid w:val="00FD5FA6"/>
    <w:rsid w:val="00FE1860"/>
    <w:rsid w:val="00FE1E61"/>
    <w:rsid w:val="00FE2F28"/>
    <w:rsid w:val="00FE3673"/>
    <w:rsid w:val="00FE461E"/>
    <w:rsid w:val="00FE6174"/>
    <w:rsid w:val="00FF009E"/>
    <w:rsid w:val="00FF1D09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83E9"/>
  <w15:docId w15:val="{860D9924-2DC2-43ED-8474-0A93DF4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4CAB"/>
  </w:style>
  <w:style w:type="paragraph" w:styleId="Cmsor1">
    <w:name w:val="heading 1"/>
    <w:basedOn w:val="Norml"/>
    <w:next w:val="Norml"/>
    <w:link w:val="Cmsor1Char"/>
    <w:uiPriority w:val="9"/>
    <w:qFormat/>
    <w:rsid w:val="0063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1BC2"/>
    <w:pPr>
      <w:ind w:left="720"/>
      <w:contextualSpacing/>
    </w:pPr>
  </w:style>
  <w:style w:type="character" w:styleId="Hiperhivatkozs">
    <w:name w:val="Hyperlink"/>
    <w:rsid w:val="00631BC2"/>
    <w:rPr>
      <w:rFonts w:ascii="Arial" w:hAnsi="Arial" w:cs="Arial"/>
      <w:color w:val="0000FF"/>
      <w:u w:val="single"/>
    </w:rPr>
  </w:style>
  <w:style w:type="paragraph" w:customStyle="1" w:styleId="cmoldalalcm">
    <w:name w:val="címoldal_alcím"/>
    <w:basedOn w:val="Norml"/>
    <w:rsid w:val="00631BC2"/>
    <w:pPr>
      <w:spacing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31BC2"/>
  </w:style>
  <w:style w:type="paragraph" w:styleId="llb">
    <w:name w:val="footer"/>
    <w:basedOn w:val="Norml"/>
    <w:link w:val="llbChar"/>
    <w:uiPriority w:val="99"/>
    <w:unhideWhenUsed/>
    <w:rsid w:val="006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BC2"/>
  </w:style>
  <w:style w:type="character" w:customStyle="1" w:styleId="llbChar1">
    <w:name w:val="Élőláb Char1"/>
    <w:semiHidden/>
    <w:rsid w:val="00631BC2"/>
    <w:rPr>
      <w:rFonts w:ascii="Arial" w:hAnsi="Arial" w:cs="Arial"/>
      <w:sz w:val="24"/>
      <w:szCs w:val="24"/>
    </w:rPr>
  </w:style>
  <w:style w:type="character" w:styleId="Oldalszm">
    <w:name w:val="page number"/>
    <w:rsid w:val="00631BC2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63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20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21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21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721CA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5105C"/>
    <w:rPr>
      <w:color w:val="800080" w:themeColor="followedHyperlink"/>
      <w:u w:val="single"/>
    </w:rPr>
  </w:style>
  <w:style w:type="paragraph" w:customStyle="1" w:styleId="GVIelsobekezdes">
    <w:name w:val="GVI_elso_bekezdes"/>
    <w:basedOn w:val="Norml"/>
    <w:link w:val="GVIelsobekezdesChar"/>
    <w:qFormat/>
    <w:rsid w:val="00400EFE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GVIelsobekezdesChar">
    <w:name w:val="GVI_elso_bekezdes Char"/>
    <w:basedOn w:val="Bekezdsalapbettpusa"/>
    <w:link w:val="GVIelsobekezdes"/>
    <w:rsid w:val="00400EFE"/>
    <w:rPr>
      <w:rFonts w:ascii="Arial" w:eastAsia="Times New Roman" w:hAnsi="Arial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508D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508DA"/>
    <w:pPr>
      <w:spacing w:after="100"/>
    </w:pPr>
  </w:style>
  <w:style w:type="paragraph" w:styleId="Szvegtrzs">
    <w:name w:val="Body Text"/>
    <w:basedOn w:val="Norml"/>
    <w:link w:val="SzvegtrzsChar"/>
    <w:rsid w:val="003C4034"/>
    <w:pPr>
      <w:suppressAutoHyphens/>
      <w:spacing w:before="240" w:after="24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3C4034"/>
    <w:rPr>
      <w:rFonts w:ascii="Arial" w:eastAsia="Times New Roman" w:hAnsi="Arial" w:cs="Arial"/>
      <w:sz w:val="24"/>
      <w:szCs w:val="24"/>
      <w:lang w:eastAsia="ar-SA"/>
    </w:rPr>
  </w:style>
  <w:style w:type="paragraph" w:styleId="Idzet">
    <w:name w:val="Quote"/>
    <w:basedOn w:val="Norml"/>
    <w:next w:val="Norml"/>
    <w:link w:val="IdzetChar"/>
    <w:uiPriority w:val="29"/>
    <w:qFormat/>
    <w:rsid w:val="0063428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34283"/>
    <w:rPr>
      <w:i/>
      <w:iCs/>
      <w:color w:val="000000" w:themeColor="text1"/>
    </w:rPr>
  </w:style>
  <w:style w:type="paragraph" w:styleId="brajegyzk">
    <w:name w:val="table of figures"/>
    <w:basedOn w:val="Norml"/>
    <w:next w:val="Norml"/>
    <w:uiPriority w:val="99"/>
    <w:unhideWhenUsed/>
    <w:rsid w:val="00634283"/>
    <w:pPr>
      <w:spacing w:after="0"/>
    </w:pPr>
  </w:style>
  <w:style w:type="character" w:styleId="Jegyzethivatkozs">
    <w:name w:val="annotation reference"/>
    <w:basedOn w:val="Bekezdsalapbettpusa"/>
    <w:uiPriority w:val="99"/>
    <w:semiHidden/>
    <w:unhideWhenUsed/>
    <w:rsid w:val="00D352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52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52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52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524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94DEB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2E1057"/>
  </w:style>
  <w:style w:type="character" w:customStyle="1" w:styleId="Cmsor2Char">
    <w:name w:val="Címsor 2 Char"/>
    <w:basedOn w:val="Bekezdsalapbettpusa"/>
    <w:link w:val="Cmsor2"/>
    <w:uiPriority w:val="9"/>
    <w:semiHidden/>
    <w:rsid w:val="00EC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31">
    <w:name w:val="Body Text 31"/>
    <w:basedOn w:val="Norml"/>
    <w:rsid w:val="00EC0992"/>
    <w:pPr>
      <w:suppressAutoHyphens/>
      <w:spacing w:after="120" w:line="240" w:lineRule="auto"/>
      <w:jc w:val="both"/>
    </w:pPr>
    <w:rPr>
      <w:rFonts w:ascii="Arial" w:eastAsia="Times New Roman" w:hAnsi="Arial" w:cs="Arial"/>
      <w:i/>
      <w:sz w:val="20"/>
      <w:szCs w:val="16"/>
      <w:lang w:eastAsia="zh-CN"/>
    </w:rPr>
  </w:style>
  <w:style w:type="paragraph" w:customStyle="1" w:styleId="StlusSzvegtrzsArialUtna0pt">
    <w:name w:val="Stílus Szövegtörzs + Arial Utána:  0 pt"/>
    <w:basedOn w:val="Szvegtrzs"/>
    <w:rsid w:val="00560C86"/>
    <w:pPr>
      <w:spacing w:before="0" w:line="240" w:lineRule="auto"/>
    </w:pPr>
    <w:rPr>
      <w:rFonts w:cs="Times New Roman"/>
      <w:szCs w:val="20"/>
    </w:rPr>
  </w:style>
  <w:style w:type="paragraph" w:customStyle="1" w:styleId="bramegjegyzs">
    <w:name w:val="Ábra megjegyzés"/>
    <w:basedOn w:val="Norml"/>
    <w:rsid w:val="00F358CA"/>
    <w:pPr>
      <w:suppressAutoHyphens/>
      <w:spacing w:after="0" w:line="240" w:lineRule="auto"/>
    </w:pPr>
    <w:rPr>
      <w:rFonts w:ascii="Arial" w:eastAsia="Times New Roman" w:hAnsi="Arial" w:cs="Arial"/>
      <w:i/>
      <w:sz w:val="20"/>
      <w:szCs w:val="24"/>
      <w:lang w:eastAsia="zh-CN"/>
    </w:rPr>
  </w:style>
  <w:style w:type="paragraph" w:customStyle="1" w:styleId="bracm">
    <w:name w:val="Ábracím"/>
    <w:basedOn w:val="Norml"/>
    <w:rsid w:val="00F358CA"/>
    <w:pPr>
      <w:suppressAutoHyphens/>
      <w:spacing w:after="0" w:line="360" w:lineRule="auto"/>
      <w:jc w:val="both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1C05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FB54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vi.hu" TargetMode="External"/><Relationship Id="rId1" Type="http://schemas.openxmlformats.org/officeDocument/2006/relationships/hyperlink" Target="mailto:gvi@g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B7FC-76F6-40EA-976B-BBB614D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785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MKIK GVI</dc:creator>
  <cp:lastModifiedBy>GVI</cp:lastModifiedBy>
  <cp:revision>16</cp:revision>
  <cp:lastPrinted>2017-05-11T17:41:00Z</cp:lastPrinted>
  <dcterms:created xsi:type="dcterms:W3CDTF">2018-06-11T10:00:00Z</dcterms:created>
  <dcterms:modified xsi:type="dcterms:W3CDTF">2018-06-12T08:41:00Z</dcterms:modified>
</cp:coreProperties>
</file>