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51" w:rsidRPr="008F111E" w:rsidRDefault="007400E9" w:rsidP="008F111E">
      <w:pPr>
        <w:jc w:val="center"/>
        <w:rPr>
          <w:b/>
        </w:rPr>
      </w:pPr>
      <w:bookmarkStart w:id="0" w:name="_GoBack"/>
      <w:bookmarkEnd w:id="0"/>
      <w:r w:rsidRPr="008F111E">
        <w:rPr>
          <w:b/>
        </w:rPr>
        <w:t>Így alakultak a magyarországi vállalati felszámolások 2008 és 2014 között</w:t>
      </w:r>
    </w:p>
    <w:p w:rsidR="007400E9" w:rsidRPr="008F111E" w:rsidRDefault="007400E9" w:rsidP="008F111E">
      <w:pPr>
        <w:jc w:val="center"/>
        <w:rPr>
          <w:b/>
        </w:rPr>
      </w:pPr>
      <w:r w:rsidRPr="008F111E">
        <w:rPr>
          <w:b/>
        </w:rPr>
        <w:t>Sajtóanyag</w:t>
      </w:r>
    </w:p>
    <w:p w:rsidR="007400E9" w:rsidRDefault="007400E9" w:rsidP="007400E9">
      <w:r w:rsidRPr="007400E9">
        <w:t xml:space="preserve">A GVI tanulmánya a magyarországi felszámolások dinamikáját vizsgálja a 2008 és 2014 közötti periódusra a hivatalos közleményeken alapuló, saját építésű adatbázisát felhasználva. </w:t>
      </w:r>
      <w:r>
        <w:t xml:space="preserve">A tanulmány elsődleges célja Magyarország különböző adminisztratív szintjein a felszámolások dinamikájának leíró elemzése, valamint a legegyszerűbb módszerekkel a válság által okozott </w:t>
      </w:r>
      <w:r w:rsidR="00951A4B">
        <w:t xml:space="preserve">potenciális </w:t>
      </w:r>
      <w:r>
        <w:t>változás vizsgálata a gazdasági fejlődés metszetében.</w:t>
      </w:r>
      <w:r w:rsidR="00951A4B">
        <w:t xml:space="preserve"> A tanulmány fő következtetése az, hogy a felszámolások számának szintje és változásai </w:t>
      </w:r>
      <w:r w:rsidR="009631ED">
        <w:t xml:space="preserve">területi egységeken belül is nagyon </w:t>
      </w:r>
      <w:r w:rsidR="00951A4B">
        <w:t>heterogének, valamint nem állapítható meg egyértelmű kapcsolat a gazdasági fejlettség és a felszámolások számának válság alatti alakulása között: a kérdés precízebb vizsgálatához további információkra van szükség a vállalatokról.</w:t>
      </w:r>
    </w:p>
    <w:p w:rsidR="007400E9" w:rsidRDefault="007400E9" w:rsidP="007400E9">
      <w:r>
        <w:t>Az 1. ábrán azt láthatjuk, hogyan alakult a felszámolások száma havi bontásban 2008 és 2014 között, a teljes megfigyelésszámra. Az ábra nem meglepő módon arról tanúskodik, hogy a válság hatására elkezdett emelkedni a felszámolások száma az országban, melynek trendje csak 2012-től fordult meg. Míg 2008 elején a felszámolások havi átlaga 800 körül mozgott, addig ez az érték a csúcson, 2011 nyarán 2000-et is meghaladja, majd innen esett vissza 1300 körüli szintre</w:t>
      </w:r>
      <w:r w:rsidR="009631ED">
        <w:t>, tehát a felszámolások száma csak késve reagál a gazdasági változásokra</w:t>
      </w:r>
      <w:r>
        <w:t>.</w:t>
      </w:r>
    </w:p>
    <w:bookmarkStart w:id="1" w:name="_Toc419060719"/>
    <w:p w:rsidR="007400E9" w:rsidRDefault="004522C0" w:rsidP="007400E9">
      <w:pPr>
        <w:pStyle w:val="Kpalrs"/>
        <w:keepNext/>
      </w:pPr>
      <w:r>
        <w:lastRenderedPageBreak/>
        <w:fldChar w:fldCharType="begin"/>
      </w:r>
      <w:r>
        <w:instrText xml:space="preserve"> SEQ ábra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7400E9">
        <w:t>. ábra:</w:t>
      </w:r>
      <w:r w:rsidR="007400E9" w:rsidRPr="00555C42">
        <w:rPr>
          <w:rFonts w:eastAsiaTheme="minorEastAsia" w:hAnsi="Times New Roman"/>
          <w:color w:val="595959"/>
          <w:kern w:val="24"/>
          <w:sz w:val="28"/>
          <w:szCs w:val="28"/>
          <w:lang w:eastAsia="hu-HU"/>
          <w14:textFill>
            <w14:solidFill>
              <w14:srgbClr w14:val="595959">
                <w14:lumMod w14:val="65000"/>
                <w14:lumOff w14:val="35000"/>
              </w14:srgbClr>
            </w14:solidFill>
          </w14:textFill>
        </w:rPr>
        <w:t xml:space="preserve"> </w:t>
      </w:r>
      <w:r w:rsidR="007400E9" w:rsidRPr="00555C42">
        <w:t>Felszámolások számának HP-szűrőve</w:t>
      </w:r>
      <w:r w:rsidR="007400E9">
        <w:t>l trendillesztett idősora, 2008–</w:t>
      </w:r>
      <w:r w:rsidR="007400E9" w:rsidRPr="00555C42">
        <w:t>2014 havi</w:t>
      </w:r>
      <w:bookmarkEnd w:id="1"/>
    </w:p>
    <w:p w:rsidR="007400E9" w:rsidRDefault="007400E9" w:rsidP="007400E9">
      <w:pPr>
        <w:jc w:val="center"/>
      </w:pPr>
      <w:r>
        <w:rPr>
          <w:noProof/>
          <w:lang w:eastAsia="hu-HU"/>
        </w:rPr>
        <w:drawing>
          <wp:inline distT="0" distB="0" distL="0" distR="0" wp14:anchorId="6F255276" wp14:editId="05D96CA3">
            <wp:extent cx="4879146" cy="2755075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337" cy="2767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0E9" w:rsidRPr="007400E9" w:rsidRDefault="007400E9" w:rsidP="007400E9">
      <w:pPr>
        <w:spacing w:after="0" w:line="240" w:lineRule="auto"/>
        <w:ind w:firstLine="708"/>
        <w:jc w:val="left"/>
        <w:rPr>
          <w:rFonts w:cs="Tahoma"/>
          <w:i/>
          <w:color w:val="404040" w:themeColor="text1" w:themeTint="BF"/>
          <w:sz w:val="16"/>
          <w:szCs w:val="16"/>
        </w:rPr>
      </w:pPr>
      <w:r w:rsidRPr="007400E9">
        <w:rPr>
          <w:rFonts w:cs="Tahoma"/>
          <w:i/>
          <w:color w:val="404040" w:themeColor="text1" w:themeTint="BF"/>
          <w:sz w:val="16"/>
          <w:szCs w:val="16"/>
        </w:rPr>
        <w:t>Forrás: GVI vállalati felszámolási adatbázis</w:t>
      </w:r>
    </w:p>
    <w:p w:rsidR="007400E9" w:rsidRDefault="007400E9" w:rsidP="007400E9">
      <w:r>
        <w:t xml:space="preserve"> </w:t>
      </w:r>
    </w:p>
    <w:p w:rsidR="004522C0" w:rsidRDefault="004522C0" w:rsidP="007400E9">
      <w:r>
        <w:t>A 2. ábrán látható, hogyan alakult járásonként a felszámolások száma ezer előző évi regisztrált társas gazdasági szervezet arányában, járási fejlettségi indexre vetítve 2008-ban (az ábrára kattintva a többi évre vonatkozó adat is elérhető.). Megfigyelhetőek a fejlettség függvényében eltérő felszámolási arányra vonatkozó szintek, valamint néhány kiugró érték is. Ez azokra a járásokra utalhat, amelyekben a felszámolások számát külső tényezők határozzák meg (pl. cégtemetők gyakoribbak).</w:t>
      </w:r>
    </w:p>
    <w:p w:rsidR="004522C0" w:rsidRPr="009D0B54" w:rsidRDefault="007306BC" w:rsidP="004522C0">
      <w:pPr>
        <w:pStyle w:val="Kpalrs"/>
      </w:pPr>
      <w:r>
        <w:lastRenderedPageBreak/>
        <w:fldChar w:fldCharType="begin"/>
      </w:r>
      <w:r>
        <w:instrText xml:space="preserve"> SEQ ábra \* ARABIC </w:instrText>
      </w:r>
      <w:r>
        <w:fldChar w:fldCharType="separate"/>
      </w:r>
      <w:r w:rsidR="004522C0">
        <w:rPr>
          <w:noProof/>
        </w:rPr>
        <w:t>2</w:t>
      </w:r>
      <w:r>
        <w:rPr>
          <w:noProof/>
        </w:rPr>
        <w:fldChar w:fldCharType="end"/>
      </w:r>
      <w:bookmarkStart w:id="2" w:name="_Toc419531936"/>
      <w:r w:rsidR="004522C0">
        <w:t>. ábra: Felszámolások számának alakulás 2008-ban, járási szinten, ezer előző évi régiós regisztrált társas gazdasági szervezet arányában, járási komplex fejlettségi mutató függvényében (A több évre vonatkozó grafikon elérhető az ábrára kattintva!)</w:t>
      </w:r>
      <w:bookmarkEnd w:id="2"/>
    </w:p>
    <w:p w:rsidR="004522C0" w:rsidRDefault="004522C0" w:rsidP="004522C0">
      <w:pPr>
        <w:jc w:val="center"/>
      </w:pPr>
      <w:r>
        <w:rPr>
          <w:noProof/>
          <w:lang w:eastAsia="hu-HU"/>
        </w:rPr>
        <w:drawing>
          <wp:inline distT="0" distB="0" distL="0" distR="0" wp14:anchorId="2D8B7C5F" wp14:editId="5B2F031B">
            <wp:extent cx="4695825" cy="2701070"/>
            <wp:effectExtent l="0" t="0" r="0" b="4445"/>
            <wp:docPr id="3" name="Kép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81" cy="27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C0" w:rsidRPr="00FD784A" w:rsidRDefault="004522C0" w:rsidP="004522C0">
      <w:pPr>
        <w:spacing w:after="0" w:line="240" w:lineRule="auto"/>
        <w:ind w:left="426" w:hanging="1"/>
        <w:rPr>
          <w:rFonts w:cs="Tahoma"/>
          <w:i/>
          <w:color w:val="404040" w:themeColor="text1" w:themeTint="BF"/>
          <w:sz w:val="16"/>
          <w:szCs w:val="16"/>
        </w:rPr>
      </w:pPr>
      <w:r w:rsidRPr="00FD784A">
        <w:rPr>
          <w:rFonts w:cs="Tahoma"/>
          <w:i/>
          <w:color w:val="404040" w:themeColor="text1" w:themeTint="BF"/>
          <w:sz w:val="16"/>
          <w:szCs w:val="16"/>
        </w:rPr>
        <w:t>Forrás: GVI vállalati felszámolási adatbázis és a KSH Tájékoztatási adatbázisa</w:t>
      </w:r>
      <w:r>
        <w:rPr>
          <w:rFonts w:cs="Tahoma"/>
          <w:i/>
          <w:color w:val="404040" w:themeColor="text1" w:themeTint="BF"/>
          <w:sz w:val="16"/>
          <w:szCs w:val="16"/>
        </w:rPr>
        <w:t>, valamint Bublik és Nyeste, 2014</w:t>
      </w:r>
    </w:p>
    <w:p w:rsidR="004522C0" w:rsidRDefault="004522C0" w:rsidP="004522C0">
      <w:pPr>
        <w:ind w:left="426"/>
        <w:jc w:val="left"/>
        <w:rPr>
          <w:rFonts w:cs="Tahoma"/>
          <w:i/>
          <w:color w:val="404040" w:themeColor="text1" w:themeTint="BF"/>
          <w:sz w:val="16"/>
          <w:szCs w:val="16"/>
        </w:rPr>
      </w:pPr>
      <w:r>
        <w:rPr>
          <w:rFonts w:cs="Tahoma"/>
          <w:i/>
          <w:color w:val="404040" w:themeColor="text1" w:themeTint="BF"/>
          <w:sz w:val="16"/>
          <w:szCs w:val="16"/>
        </w:rPr>
        <w:t xml:space="preserve">Megjegyzés: Készült a regionaldat.org segítségével, az ábra a </w:t>
      </w:r>
      <w:hyperlink r:id="rId9" w:history="1">
        <w:r w:rsidRPr="009E519F">
          <w:rPr>
            <w:rStyle w:val="Hiperhivatkozs"/>
            <w:rFonts w:cs="Tahoma"/>
            <w:i/>
            <w:sz w:val="16"/>
            <w:szCs w:val="16"/>
          </w:rPr>
          <w:t>http://www.regionaldata.org/hu_HU/animated_charts/show/id/778</w:t>
        </w:r>
      </w:hyperlink>
      <w:r>
        <w:rPr>
          <w:rFonts w:cs="Tahoma"/>
          <w:i/>
          <w:color w:val="404040" w:themeColor="text1" w:themeTint="BF"/>
          <w:sz w:val="16"/>
          <w:szCs w:val="16"/>
        </w:rPr>
        <w:t xml:space="preserve"> oldalra mutat</w:t>
      </w:r>
    </w:p>
    <w:p w:rsidR="00C42CC4" w:rsidRDefault="00896717" w:rsidP="007400E9">
      <w:r>
        <w:t>Az eredményeink azt mutatják, hogy mindegyik adminisztratív szinten vizsgálódva jelentős eltéréseket mutat a válság lefutása a különböző területi egységek szerint. A válság időszakába</w:t>
      </w:r>
      <w:r w:rsidR="00B776FE">
        <w:t>n (2009–2011)</w:t>
      </w:r>
      <w:r>
        <w:t xml:space="preserve"> bekövetkező változást mérő változót ennek megfelelően úgy számoljuk ki, hogy a felszámolások vizsgálati időszakára vonatkozó éves átlagát viszonyítjuk az ezen </w:t>
      </w:r>
      <w:r w:rsidR="00B776FE">
        <w:t>idő</w:t>
      </w:r>
      <w:r>
        <w:t xml:space="preserve">intervallumon kívüli (2008 és 2012–2014) éves átlaggal. </w:t>
      </w:r>
      <w:r w:rsidR="00B776FE">
        <w:t xml:space="preserve">A </w:t>
      </w:r>
      <w:r w:rsidR="004202BE">
        <w:t>3</w:t>
      </w:r>
      <w:r w:rsidR="00B776FE">
        <w:t xml:space="preserve">. ábra arról tanúskodik, hogy bár </w:t>
      </w:r>
      <w:r w:rsidR="00B776FE">
        <w:lastRenderedPageBreak/>
        <w:t>összességében nőtt a felszámolások száma, ennek mértéke</w:t>
      </w:r>
      <w:r w:rsidR="00B57EC3">
        <w:t xml:space="preserve"> jelentősen eltérhetett az ország különböző részein</w:t>
      </w:r>
      <w:r>
        <w:t xml:space="preserve">. Míg Komárom–Esztergom megye járásaiban drasztikusan megnövekedett a felszámolások </w:t>
      </w:r>
      <w:r w:rsidR="00B776FE">
        <w:t>száma</w:t>
      </w:r>
      <w:r>
        <w:t>, addig Csongrád vagy Vas megy</w:t>
      </w:r>
      <w:r w:rsidR="00B776FE">
        <w:t xml:space="preserve">e járásaiban </w:t>
      </w:r>
      <w:r w:rsidR="00B02A5C">
        <w:t>átlagosan</w:t>
      </w:r>
      <w:r>
        <w:t xml:space="preserve"> csökkenés következett be.</w:t>
      </w:r>
      <w:r w:rsidRPr="00896717">
        <w:t xml:space="preserve"> </w:t>
      </w:r>
      <w:r>
        <w:t>Ha összevetjük a felszámolások számának alakulását a gazdasági fejlettség mutatóival, akkor azt tapasztaljuk, hogy nincs egyértelmű kapcsolat sem megyei, sem járási szinten</w:t>
      </w:r>
      <w:r w:rsidR="00B02A5C">
        <w:t>.</w:t>
      </w:r>
      <w:r>
        <w:t xml:space="preserve"> </w:t>
      </w:r>
      <w:r w:rsidR="00B776FE">
        <w:t xml:space="preserve">Más kontrollváltozókat egyelőre nem vizsgálva az látható, hogy </w:t>
      </w:r>
      <w:r w:rsidR="00B02A5C">
        <w:t xml:space="preserve">mind szegény, mind gazdag járásokban egyaránt jelentkezhetett a felszámolások számának </w:t>
      </w:r>
      <w:r w:rsidR="00C42CC4">
        <w:t>emelkedése</w:t>
      </w:r>
      <w:r w:rsidR="00B02A5C">
        <w:t>.</w:t>
      </w:r>
    </w:p>
    <w:p w:rsidR="00C42CC4" w:rsidRDefault="00C42CC4">
      <w:pPr>
        <w:jc w:val="left"/>
      </w:pPr>
      <w:r>
        <w:br w:type="page"/>
      </w:r>
    </w:p>
    <w:p w:rsidR="008F111E" w:rsidRDefault="008F111E" w:rsidP="007400E9"/>
    <w:bookmarkStart w:id="3" w:name="_Toc419060729"/>
    <w:p w:rsidR="008F111E" w:rsidRPr="00492F5D" w:rsidRDefault="004522C0" w:rsidP="008F111E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bookmarkStart w:id="4" w:name="_Toc418701650"/>
      <w:r w:rsidR="008F111E" w:rsidRPr="00B85A9C">
        <w:t xml:space="preserve">. ábra: </w:t>
      </w:r>
      <w:bookmarkEnd w:id="4"/>
      <w:r w:rsidR="008F111E">
        <w:t>F</w:t>
      </w:r>
      <w:r w:rsidR="008F111E" w:rsidRPr="00B85A9C">
        <w:t>elszámolások éves átlagos száma 2009-2011-es időszakában a többi évek</w:t>
      </w:r>
      <w:r w:rsidR="00B02A5C">
        <w:t xml:space="preserve"> (2008 és 2012–2014)</w:t>
      </w:r>
      <w:r w:rsidR="008F111E" w:rsidRPr="00B85A9C">
        <w:t xml:space="preserve"> éves átlagához képest (százalékos arány)</w:t>
      </w:r>
      <w:r w:rsidR="008F111E">
        <w:t>, járási szintű térkép</w:t>
      </w:r>
      <w:bookmarkEnd w:id="3"/>
    </w:p>
    <w:p w:rsidR="008F111E" w:rsidRDefault="008F111E" w:rsidP="008F111E">
      <w:pPr>
        <w:jc w:val="center"/>
      </w:pPr>
      <w:r>
        <w:rPr>
          <w:noProof/>
          <w:lang w:eastAsia="hu-HU"/>
        </w:rPr>
        <w:drawing>
          <wp:inline distT="0" distB="0" distL="0" distR="0" wp14:anchorId="0C9A7614" wp14:editId="1CB08EDF">
            <wp:extent cx="5705475" cy="3314700"/>
            <wp:effectExtent l="0" t="0" r="9525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1E" w:rsidRDefault="008F111E" w:rsidP="008F111E">
      <w:pPr>
        <w:pStyle w:val="Listaszerbekezds"/>
        <w:spacing w:after="0" w:line="240" w:lineRule="auto"/>
        <w:ind w:left="0"/>
        <w:rPr>
          <w:rFonts w:cs="Tahoma"/>
          <w:i/>
          <w:color w:val="404040" w:themeColor="text1" w:themeTint="BF"/>
          <w:sz w:val="16"/>
          <w:szCs w:val="16"/>
        </w:rPr>
      </w:pPr>
      <w:r w:rsidRPr="00E831F5">
        <w:rPr>
          <w:rFonts w:cs="Tahoma"/>
          <w:i/>
          <w:color w:val="404040" w:themeColor="text1" w:themeTint="BF"/>
          <w:sz w:val="16"/>
          <w:szCs w:val="16"/>
        </w:rPr>
        <w:t xml:space="preserve">Forrás: GVI </w:t>
      </w:r>
      <w:r>
        <w:rPr>
          <w:rFonts w:cs="Tahoma"/>
          <w:i/>
          <w:color w:val="404040" w:themeColor="text1" w:themeTint="BF"/>
          <w:sz w:val="16"/>
          <w:szCs w:val="16"/>
        </w:rPr>
        <w:t xml:space="preserve">vállalati </w:t>
      </w:r>
      <w:r w:rsidRPr="00E831F5">
        <w:rPr>
          <w:rFonts w:cs="Tahoma"/>
          <w:i/>
          <w:color w:val="404040" w:themeColor="text1" w:themeTint="BF"/>
          <w:sz w:val="16"/>
          <w:szCs w:val="16"/>
        </w:rPr>
        <w:t>felszámolási adatbázisa</w:t>
      </w:r>
      <w:r>
        <w:rPr>
          <w:rFonts w:cs="Tahoma"/>
          <w:i/>
          <w:color w:val="404040" w:themeColor="text1" w:themeTint="BF"/>
          <w:sz w:val="16"/>
          <w:szCs w:val="16"/>
        </w:rPr>
        <w:t xml:space="preserve"> alapján saját számítás</w:t>
      </w:r>
    </w:p>
    <w:p w:rsidR="008F111E" w:rsidRDefault="008F111E" w:rsidP="008F111E">
      <w:pPr>
        <w:pStyle w:val="Listaszerbekezds"/>
        <w:spacing w:after="0" w:line="240" w:lineRule="auto"/>
        <w:ind w:left="0"/>
      </w:pPr>
      <w:r>
        <w:rPr>
          <w:rFonts w:cs="Tahoma"/>
          <w:i/>
          <w:color w:val="404040" w:themeColor="text1" w:themeTint="BF"/>
          <w:sz w:val="16"/>
          <w:szCs w:val="16"/>
        </w:rPr>
        <w:t>Megjegyzés: A térkép létrehozásához a regionaldata.org alkalmazást használtuk</w:t>
      </w:r>
    </w:p>
    <w:p w:rsidR="008F111E" w:rsidRPr="007400E9" w:rsidRDefault="008F111E" w:rsidP="007400E9"/>
    <w:sectPr w:rsidR="008F111E" w:rsidRPr="0074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BC" w:rsidRDefault="007306BC" w:rsidP="00F73C00">
      <w:pPr>
        <w:spacing w:after="0" w:line="240" w:lineRule="auto"/>
      </w:pPr>
      <w:r>
        <w:separator/>
      </w:r>
    </w:p>
  </w:endnote>
  <w:endnote w:type="continuationSeparator" w:id="0">
    <w:p w:rsidR="007306BC" w:rsidRDefault="007306BC" w:rsidP="00F7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BC" w:rsidRDefault="007306BC" w:rsidP="00F73C00">
      <w:pPr>
        <w:spacing w:after="0" w:line="240" w:lineRule="auto"/>
      </w:pPr>
      <w:r>
        <w:separator/>
      </w:r>
    </w:p>
  </w:footnote>
  <w:footnote w:type="continuationSeparator" w:id="0">
    <w:p w:rsidR="007306BC" w:rsidRDefault="007306BC" w:rsidP="00F7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E9"/>
    <w:rsid w:val="00072C78"/>
    <w:rsid w:val="004202BE"/>
    <w:rsid w:val="004522C0"/>
    <w:rsid w:val="00553BBC"/>
    <w:rsid w:val="006A591F"/>
    <w:rsid w:val="007306BC"/>
    <w:rsid w:val="007400E9"/>
    <w:rsid w:val="00896717"/>
    <w:rsid w:val="008F111E"/>
    <w:rsid w:val="00951A4B"/>
    <w:rsid w:val="009631ED"/>
    <w:rsid w:val="009B3F7C"/>
    <w:rsid w:val="00B02A5C"/>
    <w:rsid w:val="00B56A15"/>
    <w:rsid w:val="00B57EC3"/>
    <w:rsid w:val="00B776FE"/>
    <w:rsid w:val="00C42CC4"/>
    <w:rsid w:val="00D52790"/>
    <w:rsid w:val="00E91E51"/>
    <w:rsid w:val="00F7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0E9"/>
    <w:pPr>
      <w:jc w:val="both"/>
    </w:pPr>
    <w:rPr>
      <w:rFonts w:ascii="Palatino Linotype" w:hAnsi="Palatino Linotyp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7400E9"/>
    <w:pPr>
      <w:spacing w:after="200" w:line="240" w:lineRule="auto"/>
      <w:jc w:val="center"/>
    </w:pPr>
    <w:rPr>
      <w:b/>
      <w:iCs/>
      <w:color w:val="ED7D31" w:themeColor="accent2"/>
      <w:sz w:val="20"/>
      <w:szCs w:val="18"/>
    </w:rPr>
  </w:style>
  <w:style w:type="paragraph" w:styleId="Listaszerbekezds">
    <w:name w:val="List Paragraph"/>
    <w:basedOn w:val="Norml"/>
    <w:uiPriority w:val="34"/>
    <w:qFormat/>
    <w:rsid w:val="008F111E"/>
    <w:pPr>
      <w:spacing w:after="200" w:line="276" w:lineRule="auto"/>
      <w:ind w:left="720"/>
      <w:contextualSpacing/>
    </w:pPr>
  </w:style>
  <w:style w:type="character" w:styleId="Hiperhivatkozs">
    <w:name w:val="Hyperlink"/>
    <w:uiPriority w:val="99"/>
    <w:rsid w:val="004522C0"/>
    <w:rPr>
      <w:rFonts w:ascii="Arial" w:hAnsi="Arial" w:cs="Arial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7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C00"/>
    <w:rPr>
      <w:rFonts w:ascii="Palatino Linotype" w:hAnsi="Palatino Linotype"/>
    </w:rPr>
  </w:style>
  <w:style w:type="paragraph" w:styleId="llb">
    <w:name w:val="footer"/>
    <w:basedOn w:val="Norml"/>
    <w:link w:val="llbChar"/>
    <w:uiPriority w:val="99"/>
    <w:unhideWhenUsed/>
    <w:rsid w:val="00F7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C00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regionaldata.org/hu_HU/animated_charts/show/id/7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regionaldata.org/hu_HU/animated_charts/show/id/77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valsagfoldrajz_2015</vt:lpstr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valsagfoldrajz_2015</dc:title>
  <dc:subject/>
  <dc:creator/>
  <cp:keywords/>
  <dc:description/>
  <cp:lastModifiedBy/>
  <cp:revision>1</cp:revision>
  <dcterms:created xsi:type="dcterms:W3CDTF">2015-05-19T08:42:00Z</dcterms:created>
  <dcterms:modified xsi:type="dcterms:W3CDTF">2015-05-19T08:42:00Z</dcterms:modified>
</cp:coreProperties>
</file>